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E97" w:rsidP="00F62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MEM21015 Perform precision watch timing and adjustment</w:t>
      </w:r>
      <w:r>
        <w:fldChar w:fldCharType="end"/>
      </w:r>
    </w:p>
    <w:p w:rsidR="00F62E97" w:rsidP="00F62E97">
      <w:pPr>
        <w:pStyle w:val="Version"/>
        <w:sectPr w:rsidSect="007F3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664" w:rsidP="007F3664">
      <w:pPr>
        <w:pStyle w:val="SuperHeading"/>
      </w:pPr>
      <w:r w:rsidRPr="007F3664">
        <w:t>MEM21015 Perform precision watch timing and adjustment</w:t>
      </w:r>
    </w:p>
    <w:p w:rsidR="00000000" w:rsidRPr="007F3664" w:rsidP="007F3664">
      <w:pPr>
        <w:pStyle w:val="Heading1"/>
      </w:pPr>
      <w:bookmarkStart w:id="1" w:name="O_951388"/>
      <w:bookmarkEnd w:id="1"/>
      <w:r w:rsidRPr="007F3664">
        <w:t>Modification History</w:t>
      </w:r>
    </w:p>
    <w:p w:rsidR="00000000" w:rsidRPr="007F3664" w:rsidP="00F62E97">
      <w:pPr>
        <w:pStyle w:val="BodyText"/>
      </w:pPr>
      <w:r w:rsidRPr="007F3664">
        <w:t xml:space="preserve">Release 1. Supersedes and is equivalent to MEM21015A Perform precision watch timing and adjustment </w:t>
      </w:r>
    </w:p>
    <w:p w:rsidR="00000000" w:rsidRPr="007F3664" w:rsidP="007F3664">
      <w:pPr>
        <w:pStyle w:val="Heading1"/>
      </w:pPr>
      <w:bookmarkStart w:id="2" w:name="O_951396"/>
      <w:bookmarkEnd w:id="2"/>
      <w:r w:rsidRPr="007F3664">
        <w:t>Application</w:t>
      </w:r>
    </w:p>
    <w:p w:rsidR="00000000" w:rsidRPr="007F3664" w:rsidP="00F62E97">
      <w:pPr>
        <w:pStyle w:val="BodyText"/>
      </w:pPr>
      <w:r w:rsidRPr="007F3664">
        <w:t>This unit of competency defines the skills and knowledge required to make fine adjustments</w:t>
      </w:r>
      <w:r w:rsidRPr="007F3664">
        <w:t xml:space="preserve"> to high-grade mechanical watches in order to achieve precision timing (chronometer performance). </w:t>
      </w:r>
    </w:p>
    <w:p w:rsidR="00000000" w:rsidRPr="007F3664" w:rsidP="00F62E97">
      <w:pPr>
        <w:pStyle w:val="BodyText"/>
      </w:pPr>
      <w:r w:rsidRPr="007F3664">
        <w:t>No licensing, legislative or certification requirements apply to this unit at the time of publication.</w:t>
      </w:r>
    </w:p>
    <w:p w:rsidR="00000000" w:rsidRPr="007F3664" w:rsidP="00F62E97">
      <w:pPr>
        <w:pStyle w:val="Heading3"/>
      </w:pPr>
      <w:r w:rsidRPr="007F3664">
        <w:rPr>
          <w:rStyle w:val="SpecialBold"/>
        </w:rPr>
        <w:t>Band:  A</w:t>
      </w:r>
    </w:p>
    <w:p w:rsidR="00000000" w:rsidRPr="007F3664" w:rsidP="00F62E97">
      <w:pPr>
        <w:pStyle w:val="Heading3"/>
      </w:pPr>
      <w:r w:rsidRPr="007F3664">
        <w:rPr>
          <w:rStyle w:val="SpecialBold"/>
        </w:rPr>
        <w:t>Unit weight:  6</w:t>
      </w:r>
    </w:p>
    <w:p w:rsidR="00000000" w:rsidRPr="007F3664" w:rsidP="007F3664">
      <w:pPr>
        <w:pStyle w:val="Heading1"/>
      </w:pPr>
      <w:bookmarkStart w:id="3" w:name="O_951395"/>
      <w:bookmarkEnd w:id="3"/>
      <w:r w:rsidRPr="007F3664">
        <w:t>Pre-requis</w:t>
      </w:r>
      <w:r w:rsidRPr="007F3664">
        <w:t>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Undertake manual handling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Work safely and effectively in manufacturing and engineering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Organise and communicate information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Use hand tools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MEM21008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Service mechanical watches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MEM21009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Inspect, diagnose, adjust and repair mechanical watches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MEM21012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Service and repair watch oscillating systems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MEM21013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BodyText"/>
            </w:pPr>
            <w:r w:rsidRPr="007F3664">
              <w:t>Service, test and adjust watch escapements</w:t>
            </w:r>
          </w:p>
        </w:tc>
      </w:tr>
    </w:tbl>
    <w:p w:rsidR="00000000" w:rsidRPr="007F3664" w:rsidP="007F3664">
      <w:pPr>
        <w:pStyle w:val="BodyText"/>
      </w:pPr>
    </w:p>
    <w:p w:rsidR="00000000" w:rsidRPr="007F3664" w:rsidP="007F3664">
      <w:pPr>
        <w:pStyle w:val="AllowPageBreak"/>
      </w:pPr>
    </w:p>
    <w:p w:rsidR="00000000" w:rsidRPr="007F3664" w:rsidP="007F3664">
      <w:pPr>
        <w:pStyle w:val="Heading1"/>
      </w:pPr>
      <w:bookmarkStart w:id="4" w:name="O_951394"/>
      <w:bookmarkEnd w:id="4"/>
      <w:r w:rsidRPr="007F3664">
        <w:t>Competency Field</w:t>
      </w:r>
    </w:p>
    <w:p w:rsidR="00000000" w:rsidRPr="007F3664" w:rsidP="00F62E97">
      <w:pPr>
        <w:pStyle w:val="BodyText"/>
      </w:pPr>
      <w:r w:rsidRPr="007F3664">
        <w:t>Horology</w:t>
      </w:r>
    </w:p>
    <w:p w:rsidR="00000000" w:rsidRPr="007F3664" w:rsidP="007F3664">
      <w:pPr>
        <w:pStyle w:val="Heading1"/>
      </w:pPr>
      <w:bookmarkStart w:id="5" w:name="O_951392"/>
      <w:bookmarkEnd w:id="5"/>
      <w:r w:rsidRPr="007F3664">
        <w:t>Elements and Performance Crite</w:t>
      </w:r>
      <w:r w:rsidRPr="007F3664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Performance criteria describe the performance needed to demonstrate achievement of the element.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BodyText"/>
            </w:pPr>
            <w:r w:rsidRPr="007F366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Follow standard operating procedures (SOPs)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Comply with work health and safety (WHS) requirements at all times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Identify high-grade mechanical watch characteristics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Prepare written quotation and inform customer of watch condition and performance concerns, outlining recommended service procedures to be undertaken to remedy identified faults and accuracy of timekeeping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Verify and agree on servicing requirements w</w:t>
            </w:r>
            <w:r w:rsidRPr="007F3664">
              <w:t>ith customer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Prepare watch for handover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Record and document repair process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BodyText"/>
            </w:pPr>
            <w:r w:rsidRPr="007F366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Analyse watch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Establish an appropriate clean and safe work environment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Select and use appropriate personal protective equipment (PPE) in accordance with SOPs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Use hand tools and equipment in safe and correct manner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Handle components without damaging or marking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Assess condition and ability of watch to achieve chronometer performance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Conduct performance analysis of mechanical watch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Adapt servicing techniques to meet manufacturer performance specifications (chronometer certified rating)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 xml:space="preserve">Assess </w:t>
            </w:r>
            <w:r w:rsidRPr="007F3664">
              <w:t>oscillator and balance spring condition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Analyse positional errors in mechanical watch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BodyText"/>
            </w:pPr>
            <w:r w:rsidRPr="007F366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Adjust mechanical watch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Adjust mechanical watch to minimise positional errors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Adjust mechanical watch to minimise variations in balance amplitude/performance/rate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Adjust oscillator and balance spring to minimise positional errors and perform dynamic poising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Repeat and confirm all adjustments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BodyText"/>
            </w:pPr>
            <w:r w:rsidRPr="007F366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Test mechanical watch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 xml:space="preserve">Verify instantaneous watch performance and rate testing 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Perform longitudinal testing to confirm watch performance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BodyText"/>
            </w:pPr>
            <w:r w:rsidRPr="007F3664">
              <w:t>Determine intermittent timing faults and adjustments</w:t>
            </w:r>
          </w:p>
        </w:tc>
      </w:tr>
    </w:tbl>
    <w:p w:rsidR="00000000" w:rsidRPr="007F3664" w:rsidP="007F3664">
      <w:pPr>
        <w:pStyle w:val="BodyText"/>
      </w:pPr>
    </w:p>
    <w:p w:rsidR="00000000" w:rsidRPr="007F3664" w:rsidP="007F3664">
      <w:pPr>
        <w:pStyle w:val="AllowPageBreak"/>
      </w:pPr>
    </w:p>
    <w:p w:rsidR="00000000" w:rsidRPr="007F3664" w:rsidP="007F3664">
      <w:pPr>
        <w:pStyle w:val="Heading1"/>
      </w:pPr>
      <w:bookmarkStart w:id="6" w:name="O_951391"/>
      <w:bookmarkEnd w:id="6"/>
      <w:r w:rsidRPr="007F3664">
        <w:t>Foundation Skills</w:t>
      </w:r>
    </w:p>
    <w:p w:rsidR="00000000" w:rsidRPr="007F3664" w:rsidP="00F62E97">
      <w:pPr>
        <w:pStyle w:val="BodyText"/>
      </w:pPr>
      <w:r w:rsidRPr="007F366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F3664" w:rsidP="00F62E97">
      <w:pPr>
        <w:pStyle w:val="BodyText"/>
      </w:pPr>
      <w:r w:rsidRPr="007F3664">
        <w:t>Foundation skills essential to performance are explicit in the per</w:t>
      </w:r>
      <w:r w:rsidRPr="007F3664">
        <w:t>formance criteria of this unit of competency.</w:t>
      </w:r>
    </w:p>
    <w:p w:rsidR="00000000" w:rsidRPr="007F3664" w:rsidP="007F3664">
      <w:pPr>
        <w:pStyle w:val="Heading1"/>
      </w:pPr>
      <w:bookmarkStart w:id="7" w:name="O_951390"/>
      <w:bookmarkEnd w:id="7"/>
      <w:r w:rsidRPr="007F366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t>This field allows for different work environments and conditions that may affect performance. Essential operating conditions that may be present (depending on the work situa</w:t>
            </w:r>
            <w:r w:rsidRPr="007F3664">
              <w:t>tion, needs of the candidate, accessibility of the item, and local industry and regional contexts) are included.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High-grade mechanical watch characteristics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ListBullet"/>
            </w:pPr>
            <w:r w:rsidRPr="007F3664">
              <w:t xml:space="preserve">finish of components: </w:t>
            </w:r>
          </w:p>
          <w:p w:rsidR="00000000" w:rsidRPr="007F3664" w:rsidP="007F3664">
            <w:pPr>
              <w:pStyle w:val="ListBullet2"/>
            </w:pPr>
            <w:r w:rsidRPr="007F3664">
              <w:t>bevelling</w:t>
            </w:r>
          </w:p>
          <w:p w:rsidR="00000000" w:rsidRPr="007F3664" w:rsidP="007F3664">
            <w:pPr>
              <w:pStyle w:val="ListBullet2"/>
            </w:pPr>
            <w:r w:rsidRPr="007F3664">
              <w:t xml:space="preserve">graining </w:t>
            </w:r>
          </w:p>
          <w:p w:rsidR="00000000" w:rsidRPr="007F3664" w:rsidP="007F3664">
            <w:pPr>
              <w:pStyle w:val="ListBullet2"/>
            </w:pPr>
            <w:r w:rsidRPr="007F3664">
              <w:t>level of polish</w:t>
            </w:r>
          </w:p>
          <w:p w:rsidR="00000000" w:rsidRPr="007F3664" w:rsidP="007F3664">
            <w:pPr>
              <w:pStyle w:val="ListBullet"/>
            </w:pPr>
            <w:r w:rsidRPr="007F3664">
              <w:t>type of materials used for movement and case construction:</w:t>
            </w:r>
          </w:p>
          <w:p w:rsidR="00000000" w:rsidRPr="007F3664" w:rsidP="007F3664">
            <w:pPr>
              <w:pStyle w:val="ListBullet2"/>
            </w:pPr>
            <w:r w:rsidRPr="007F3664">
              <w:t xml:space="preserve">non-magnetic alloys </w:t>
            </w:r>
          </w:p>
          <w:p w:rsidR="00000000" w:rsidRPr="007F3664" w:rsidP="007F3664">
            <w:pPr>
              <w:pStyle w:val="ListBullet2"/>
            </w:pPr>
            <w:r w:rsidRPr="007F3664">
              <w:t>precious metals</w:t>
            </w:r>
          </w:p>
          <w:p w:rsidR="00000000" w:rsidRPr="007F3664" w:rsidP="007F3664">
            <w:pPr>
              <w:pStyle w:val="ListBullet"/>
            </w:pPr>
            <w:r w:rsidRPr="007F3664">
              <w:t xml:space="preserve">quality of components used: </w:t>
            </w:r>
          </w:p>
          <w:p w:rsidR="00000000" w:rsidRPr="007F3664" w:rsidP="007F3664">
            <w:pPr>
              <w:pStyle w:val="ListBullet2"/>
            </w:pPr>
            <w:r w:rsidRPr="007F3664">
              <w:t>balance spring</w:t>
            </w:r>
          </w:p>
          <w:p w:rsidR="00000000" w:rsidRPr="007F3664" w:rsidP="007F3664">
            <w:pPr>
              <w:pStyle w:val="ListBullet2"/>
            </w:pPr>
            <w:r w:rsidRPr="007F3664">
              <w:t xml:space="preserve">escapement </w:t>
            </w:r>
          </w:p>
          <w:p w:rsidR="00000000" w:rsidRPr="007F3664" w:rsidP="007F3664">
            <w:pPr>
              <w:pStyle w:val="ListBullet2"/>
            </w:pPr>
            <w:r w:rsidRPr="007F3664">
              <w:t>balance wheel</w:t>
            </w:r>
          </w:p>
          <w:p w:rsidR="00000000" w:rsidRPr="007F3664" w:rsidP="007F3664">
            <w:pPr>
              <w:pStyle w:val="ListBullet"/>
            </w:pPr>
            <w:r w:rsidRPr="007F3664">
              <w:t xml:space="preserve">certification chronometer </w:t>
            </w:r>
          </w:p>
          <w:p w:rsidR="00000000" w:rsidRPr="007F3664" w:rsidP="007F3664">
            <w:pPr>
              <w:pStyle w:val="ListBullet"/>
            </w:pPr>
            <w:r w:rsidRPr="007F3664">
              <w:t>brand name</w:t>
            </w:r>
          </w:p>
          <w:p w:rsidR="00000000" w:rsidP="007F3664">
            <w:pPr>
              <w:pStyle w:val="ListBullet"/>
              <w:rPr>
                <w:lang w:val="en-NZ"/>
              </w:rPr>
            </w:pPr>
            <w:r w:rsidRPr="007F3664">
              <w:t>number of jewels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ListBullet"/>
            </w:pPr>
            <w:r w:rsidRPr="007F3664">
              <w:t>date and extent of repair</w:t>
            </w:r>
          </w:p>
          <w:p w:rsidR="00000000" w:rsidRPr="007F3664" w:rsidP="007F3664">
            <w:pPr>
              <w:pStyle w:val="ListBullet"/>
            </w:pPr>
            <w:r w:rsidRPr="007F3664">
              <w:t>cost of replacement part</w:t>
            </w:r>
          </w:p>
          <w:p w:rsidR="00000000" w:rsidP="007F3664">
            <w:pPr>
              <w:pStyle w:val="ListBullet"/>
              <w:rPr>
                <w:lang w:val="en-NZ"/>
              </w:rPr>
            </w:pPr>
            <w:r w:rsidRPr="007F3664">
              <w:t xml:space="preserve">time spent on procedure 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Performance analysis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ListBullet"/>
            </w:pPr>
            <w:r w:rsidRPr="007F3664">
              <w:t>watch subjected to various testing position</w:t>
            </w:r>
            <w:r w:rsidRPr="007F3664">
              <w:t xml:space="preserve">s: </w:t>
            </w:r>
          </w:p>
          <w:p w:rsidR="00000000" w:rsidRPr="007F3664" w:rsidP="007F3664">
            <w:pPr>
              <w:pStyle w:val="ListBullet2"/>
            </w:pPr>
            <w:r w:rsidRPr="007F3664">
              <w:t>dial up</w:t>
            </w:r>
          </w:p>
          <w:p w:rsidR="00000000" w:rsidRPr="007F3664" w:rsidP="007F3664">
            <w:pPr>
              <w:pStyle w:val="ListBullet2"/>
            </w:pPr>
            <w:r w:rsidRPr="007F3664">
              <w:t>dial down</w:t>
            </w:r>
          </w:p>
          <w:p w:rsidR="00000000" w:rsidRPr="007F3664" w:rsidP="007F3664">
            <w:pPr>
              <w:pStyle w:val="ListBullet2"/>
            </w:pPr>
            <w:r w:rsidRPr="007F3664">
              <w:t>crown up</w:t>
            </w:r>
          </w:p>
          <w:p w:rsidR="00000000" w:rsidRPr="007F3664" w:rsidP="007F3664">
            <w:pPr>
              <w:pStyle w:val="ListBullet2"/>
            </w:pPr>
            <w:r w:rsidRPr="007F3664">
              <w:t>crown down</w:t>
            </w:r>
          </w:p>
          <w:p w:rsidR="00000000" w:rsidRPr="007F3664" w:rsidP="007F3664">
            <w:pPr>
              <w:pStyle w:val="ListBullet2"/>
            </w:pPr>
            <w:r w:rsidRPr="007F3664">
              <w:t xml:space="preserve">crown right </w:t>
            </w:r>
          </w:p>
          <w:p w:rsidR="00000000" w:rsidRPr="007F3664" w:rsidP="007F3664">
            <w:pPr>
              <w:pStyle w:val="ListBullet2"/>
            </w:pPr>
            <w:r w:rsidRPr="007F3664">
              <w:t>left</w:t>
            </w:r>
          </w:p>
          <w:p w:rsidR="00000000" w:rsidRPr="007F3664" w:rsidP="007F3664">
            <w:pPr>
              <w:pStyle w:val="ListBullet"/>
            </w:pPr>
            <w:r w:rsidRPr="007F3664">
              <w:t xml:space="preserve">states of winding: </w:t>
            </w:r>
          </w:p>
          <w:p w:rsidR="00000000" w:rsidRPr="007F3664" w:rsidP="007F3664">
            <w:pPr>
              <w:pStyle w:val="ListBullet2"/>
            </w:pPr>
            <w:r w:rsidRPr="007F3664">
              <w:t>partly wound</w:t>
            </w:r>
          </w:p>
          <w:p w:rsidR="00000000" w:rsidRPr="007F3664" w:rsidP="007F3664">
            <w:pPr>
              <w:pStyle w:val="ListBullet2"/>
            </w:pPr>
            <w:r w:rsidRPr="007F3664">
              <w:t xml:space="preserve">half wound </w:t>
            </w:r>
          </w:p>
          <w:p w:rsidR="00000000" w:rsidRPr="007F3664" w:rsidP="007F3664">
            <w:pPr>
              <w:pStyle w:val="ListBullet2"/>
            </w:pPr>
            <w:r w:rsidRPr="007F3664">
              <w:t>fully wound</w:t>
            </w:r>
          </w:p>
          <w:p w:rsidR="00000000" w:rsidRPr="007F3664" w:rsidP="007F3664">
            <w:pPr>
              <w:pStyle w:val="ListBullet"/>
            </w:pPr>
            <w:r w:rsidRPr="007F3664">
              <w:t>temperature variation</w:t>
            </w:r>
          </w:p>
          <w:p w:rsidR="00000000" w:rsidP="007F3664">
            <w:pPr>
              <w:pStyle w:val="ListBullet"/>
              <w:rPr>
                <w:lang w:val="en-NZ"/>
              </w:rPr>
            </w:pPr>
            <w:r w:rsidRPr="007F3664">
              <w:t>factors affecting isochronism (equal time of vibration)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Oscillator and balance spring condition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ListBullet"/>
            </w:pPr>
            <w:r w:rsidRPr="007F3664">
              <w:t>static poise of balance wheel:</w:t>
            </w:r>
          </w:p>
          <w:p w:rsidR="00000000" w:rsidRPr="007F3664" w:rsidP="007F3664">
            <w:pPr>
              <w:pStyle w:val="ListBullet2"/>
            </w:pPr>
            <w:r w:rsidRPr="007F3664">
              <w:t>balance spring condition</w:t>
            </w:r>
          </w:p>
          <w:p w:rsidR="00000000" w:rsidRPr="007F3664" w:rsidP="007F3664">
            <w:pPr>
              <w:pStyle w:val="ListBullet2"/>
            </w:pPr>
            <w:r w:rsidRPr="007F3664">
              <w:t>concentric</w:t>
            </w:r>
          </w:p>
          <w:p w:rsidR="00000000" w:rsidRPr="007F3664" w:rsidP="007F3664">
            <w:pPr>
              <w:pStyle w:val="ListBullet2"/>
            </w:pPr>
            <w:r w:rsidRPr="007F3664">
              <w:t xml:space="preserve">flatness </w:t>
            </w:r>
          </w:p>
          <w:p w:rsidR="00000000" w:rsidP="007F3664">
            <w:pPr>
              <w:pStyle w:val="ListBullet2"/>
              <w:rPr>
                <w:lang w:val="en-NZ"/>
              </w:rPr>
            </w:pPr>
            <w:r w:rsidRPr="007F3664">
              <w:t>beating evenly between curb pins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Dynamic poising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ListBullet"/>
            </w:pPr>
            <w:r w:rsidRPr="007F3664">
              <w:t xml:space="preserve">set up and determine out-of-poise/balance wheel using a timing machine </w:t>
            </w:r>
          </w:p>
          <w:p w:rsidR="00000000" w:rsidRPr="007F3664" w:rsidP="007F3664">
            <w:pPr>
              <w:pStyle w:val="ListBullet"/>
            </w:pPr>
            <w:r w:rsidRPr="007F3664">
              <w:t>identify and locate point of adjustment</w:t>
            </w:r>
          </w:p>
          <w:p w:rsidR="00000000" w:rsidP="007F3664">
            <w:pPr>
              <w:pStyle w:val="ListBullet"/>
              <w:rPr>
                <w:lang w:val="en-NZ"/>
              </w:rPr>
            </w:pPr>
            <w:r w:rsidRPr="007F3664">
              <w:t>methods of adjustment (with cutters or milling tools)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Confirm all adjustments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ListBullet"/>
              <w:rPr>
                <w:lang w:val="en-NZ"/>
              </w:rPr>
            </w:pPr>
            <w:r w:rsidRPr="007F3664">
              <w:t>ensuring required accuracy is obtained a</w:t>
            </w:r>
            <w:r w:rsidRPr="007F3664">
              <w:t xml:space="preserve">nd timekeeping is in accordance with manufacturer specifications 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Watch performance and rate testing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ListBullet"/>
            </w:pPr>
            <w:r w:rsidRPr="007F3664">
              <w:t>in-beat</w:t>
            </w:r>
          </w:p>
          <w:p w:rsidR="00000000" w:rsidRPr="007F3664" w:rsidP="007F3664">
            <w:pPr>
              <w:pStyle w:val="ListBullet"/>
            </w:pPr>
            <w:r w:rsidRPr="007F3664">
              <w:t>rate adjustment</w:t>
            </w:r>
          </w:p>
          <w:p w:rsidR="00000000" w:rsidRPr="007F3664" w:rsidP="007F3664">
            <w:pPr>
              <w:pStyle w:val="ListBullet"/>
            </w:pPr>
            <w:r w:rsidRPr="007F3664">
              <w:t>amplitude</w:t>
            </w:r>
          </w:p>
          <w:p w:rsidR="00000000" w:rsidRPr="007F3664" w:rsidP="007F3664">
            <w:pPr>
              <w:pStyle w:val="ListBullet"/>
            </w:pPr>
            <w:r w:rsidRPr="007F3664">
              <w:t xml:space="preserve">effect or influence of escapement </w:t>
            </w:r>
          </w:p>
          <w:p w:rsidR="00000000" w:rsidRPr="007F3664" w:rsidP="007F3664">
            <w:pPr>
              <w:pStyle w:val="ListBullet"/>
            </w:pPr>
            <w:r w:rsidRPr="007F3664">
              <w:t xml:space="preserve">temperature  </w:t>
            </w:r>
          </w:p>
          <w:p w:rsidR="00000000" w:rsidRPr="007F3664" w:rsidP="007F3664">
            <w:pPr>
              <w:pStyle w:val="ListBullet"/>
            </w:pPr>
            <w:r w:rsidRPr="007F3664">
              <w:t xml:space="preserve">effect of positional errors </w:t>
            </w:r>
          </w:p>
          <w:p w:rsidR="00000000" w:rsidRPr="007F3664" w:rsidP="007F3664">
            <w:pPr>
              <w:pStyle w:val="ListBullet"/>
            </w:pPr>
            <w:r w:rsidRPr="007F3664">
              <w:t>effect of balance wheel poise</w:t>
            </w:r>
          </w:p>
          <w:p w:rsidR="00000000" w:rsidRPr="007F3664" w:rsidP="007F3664">
            <w:pPr>
              <w:pStyle w:val="ListBullet"/>
            </w:pPr>
            <w:r w:rsidRPr="007F3664">
              <w:t>effect of balance spring</w:t>
            </w:r>
          </w:p>
          <w:p w:rsidR="00000000" w:rsidP="007F3664">
            <w:pPr>
              <w:pStyle w:val="ListBullet"/>
              <w:rPr>
                <w:lang w:val="en-NZ"/>
              </w:rPr>
            </w:pPr>
            <w:r w:rsidRPr="007F3664">
              <w:t>states of winding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Longitudinal testing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ListBullet"/>
              <w:rPr>
                <w:lang w:val="en-NZ"/>
              </w:rPr>
            </w:pPr>
            <w:r w:rsidRPr="007F3664">
              <w:t xml:space="preserve">testing over extended time period by wearing or simulator machine 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ListBullet"/>
            </w:pPr>
            <w:r w:rsidRPr="007F3664">
              <w:t xml:space="preserve">mechanical watch timing machine </w:t>
            </w:r>
          </w:p>
          <w:p w:rsidR="00000000" w:rsidRPr="007F3664" w:rsidP="007F3664">
            <w:pPr>
              <w:pStyle w:val="ListBullet"/>
            </w:pPr>
            <w:r w:rsidRPr="007F3664">
              <w:t>poising tools</w:t>
            </w:r>
          </w:p>
          <w:p w:rsidR="00000000" w:rsidRPr="007F3664" w:rsidP="007F3664">
            <w:pPr>
              <w:pStyle w:val="ListBullet"/>
            </w:pPr>
            <w:r w:rsidRPr="007F3664">
              <w:t>balance wheel cutters</w:t>
            </w:r>
          </w:p>
          <w:p w:rsidR="00000000" w:rsidP="007F3664">
            <w:pPr>
              <w:pStyle w:val="ListBullet"/>
              <w:rPr>
                <w:lang w:val="en-NZ"/>
              </w:rPr>
            </w:pPr>
            <w:r w:rsidRPr="007F3664">
              <w:t>case opening and closing tools</w:t>
            </w:r>
          </w:p>
        </w:tc>
      </w:tr>
      <w:tr w:rsidTr="007F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664">
            <w:pPr>
              <w:pStyle w:val="BodyText"/>
              <w:rPr>
                <w:lang w:val="en-NZ"/>
              </w:rPr>
            </w:pPr>
            <w:r w:rsidRPr="007F3664">
              <w:rPr>
                <w:rStyle w:val="SpecialBold"/>
              </w:rPr>
              <w:t>Working environment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664" w:rsidP="007F3664">
            <w:pPr>
              <w:pStyle w:val="ListBullet"/>
            </w:pPr>
            <w:r w:rsidRPr="007F3664">
              <w:t>clean bench and working area</w:t>
            </w:r>
          </w:p>
          <w:p w:rsidR="00000000" w:rsidRPr="007F3664" w:rsidP="007F3664">
            <w:pPr>
              <w:pStyle w:val="ListBullet"/>
            </w:pPr>
            <w:r w:rsidRPr="007F3664">
              <w:t>adequate lighting and ventilation</w:t>
            </w:r>
          </w:p>
          <w:p w:rsidR="00000000" w:rsidRPr="007F3664" w:rsidP="007F3664">
            <w:pPr>
              <w:pStyle w:val="ListBullet"/>
            </w:pPr>
            <w:r w:rsidRPr="007F3664">
              <w:t>tools and equipment organised and in good condition</w:t>
            </w:r>
          </w:p>
          <w:p w:rsidR="00000000" w:rsidRPr="007F3664" w:rsidP="007F3664">
            <w:pPr>
              <w:pStyle w:val="ListBullet"/>
            </w:pPr>
            <w:r w:rsidRPr="007F3664">
              <w:t xml:space="preserve">ergonomic seating </w:t>
            </w:r>
          </w:p>
        </w:tc>
      </w:tr>
    </w:tbl>
    <w:p w:rsidR="00000000" w:rsidRPr="007F3664" w:rsidP="007F3664">
      <w:pPr>
        <w:pStyle w:val="BodyText"/>
      </w:pPr>
    </w:p>
    <w:p w:rsidR="00000000" w:rsidRPr="007F3664" w:rsidP="007F3664">
      <w:pPr>
        <w:pStyle w:val="AllowPageBreak"/>
      </w:pPr>
    </w:p>
    <w:p w:rsidR="00000000" w:rsidRPr="007F3664" w:rsidP="007F3664">
      <w:pPr>
        <w:pStyle w:val="Heading1"/>
      </w:pPr>
      <w:bookmarkStart w:id="8" w:name="O_951389"/>
      <w:bookmarkEnd w:id="8"/>
      <w:r w:rsidRPr="007F3664">
        <w:t>Unit Mapping Information</w:t>
      </w:r>
    </w:p>
    <w:p w:rsidR="00000000" w:rsidRPr="007F3664" w:rsidP="00F62E97">
      <w:pPr>
        <w:pStyle w:val="BodyText"/>
      </w:pPr>
      <w:r w:rsidRPr="007F3664">
        <w:t xml:space="preserve">Release 1. Supersedes and is equivalent to MEM21015A Perform precision watch timing and adjustment </w:t>
      </w:r>
    </w:p>
    <w:p w:rsidR="00000000" w:rsidRPr="007F3664" w:rsidP="007F3664">
      <w:pPr>
        <w:pStyle w:val="Heading1"/>
      </w:pPr>
      <w:bookmarkStart w:id="9" w:name="O_951382"/>
      <w:bookmarkEnd w:id="9"/>
      <w:r w:rsidRPr="007F3664">
        <w:t>Links</w:t>
      </w:r>
    </w:p>
    <w:p w:rsidR="00000000" w:rsidRPr="007F3664" w:rsidP="00F62E97">
      <w:pPr>
        <w:pStyle w:val="BodyText"/>
      </w:pPr>
      <w:r w:rsidRPr="007F36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202C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3664" w:rsidP="007F3664"/>
    <w:sectPr w:rsidSect="007F36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64" w:rsidRPr="00F62E97" w:rsidP="00F62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97" w:rsidP="007F3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2E97" w:rsidP="007F3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2E97" w:rsidP="007F3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664" w:rsidRPr="00F62E97" w:rsidP="00F62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97" w:rsidRPr="002D2AF8" w:rsidP="007F3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MEM21015 Perform precision watch timing and adjustment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62E97" w:rsidP="007F3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29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81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CEF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664"/>
  </w:style>
  <w:style w:type="character" w:customStyle="1" w:styleId="Heading1Char">
    <w:name w:val="Heading 1 Char"/>
    <w:basedOn w:val="DefaultParagraphFont"/>
    <w:link w:val="Heading1"/>
    <w:rsid w:val="007F3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6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664"/>
    <w:rPr>
      <w:b/>
      <w:spacing w:val="0"/>
    </w:rPr>
  </w:style>
  <w:style w:type="paragraph" w:styleId="ListBullet2">
    <w:name w:val="List Bullet 2"/>
    <w:basedOn w:val="List2"/>
    <w:rsid w:val="007F36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664"/>
    <w:rPr>
      <w:i/>
    </w:rPr>
  </w:style>
  <w:style w:type="paragraph" w:styleId="Caption">
    <w:name w:val="caption"/>
    <w:basedOn w:val="BodyText"/>
    <w:next w:val="Normal"/>
    <w:qFormat/>
    <w:rsid w:val="007F3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664"/>
  </w:style>
  <w:style w:type="paragraph" w:styleId="TableofFigures">
    <w:name w:val="table of figures"/>
    <w:basedOn w:val="Normal"/>
    <w:next w:val="Normal"/>
    <w:semiHidden/>
    <w:rsid w:val="007F3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6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664"/>
    <w:rPr>
      <w:rFonts w:ascii="Wingdings" w:hAnsi="Wingdings"/>
    </w:rPr>
  </w:style>
  <w:style w:type="paragraph" w:customStyle="1" w:styleId="TableHeading">
    <w:name w:val="Table Heading"/>
    <w:basedOn w:val="HeadingBase"/>
    <w:rsid w:val="007F3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664"/>
    <w:rPr>
      <w:color w:val="0033CC"/>
      <w:u w:val="none"/>
    </w:rPr>
  </w:style>
  <w:style w:type="paragraph" w:customStyle="1" w:styleId="BodyTextRight">
    <w:name w:val="Body Text Right"/>
    <w:basedOn w:val="BodyText"/>
    <w:rsid w:val="007F3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6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664"/>
    <w:rPr>
      <w:sz w:val="32"/>
    </w:rPr>
  </w:style>
  <w:style w:type="paragraph" w:customStyle="1" w:styleId="HeadingProcedure">
    <w:name w:val="Heading Procedure"/>
    <w:basedOn w:val="HeadingBase"/>
    <w:next w:val="Normal"/>
    <w:rsid w:val="007F3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664"/>
    <w:pPr>
      <w:spacing w:before="60" w:after="60"/>
    </w:pPr>
  </w:style>
  <w:style w:type="paragraph" w:styleId="ListContinue">
    <w:name w:val="List Continue"/>
    <w:basedOn w:val="List"/>
    <w:rsid w:val="007F3664"/>
    <w:pPr>
      <w:ind w:firstLine="0"/>
    </w:pPr>
  </w:style>
  <w:style w:type="paragraph" w:customStyle="1" w:styleId="ListNote">
    <w:name w:val="List Note"/>
    <w:basedOn w:val="List"/>
    <w:rsid w:val="007F3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664"/>
    <w:rPr>
      <w:rFonts w:ascii="Courier New" w:hAnsi="Courier New"/>
    </w:rPr>
  </w:style>
  <w:style w:type="paragraph" w:customStyle="1" w:styleId="NoteBullet">
    <w:name w:val="Note Bullet"/>
    <w:basedOn w:val="Note"/>
    <w:rsid w:val="007F3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6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664"/>
    <w:rPr>
      <w:b/>
      <w:smallCaps/>
    </w:rPr>
  </w:style>
  <w:style w:type="paragraph" w:customStyle="1" w:styleId="TableListNumber">
    <w:name w:val="Table List Number"/>
    <w:basedOn w:val="ListNumber"/>
    <w:rsid w:val="007F3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664"/>
    <w:pPr>
      <w:numPr>
        <w:numId w:val="9"/>
      </w:numPr>
    </w:pPr>
  </w:style>
  <w:style w:type="paragraph" w:customStyle="1" w:styleId="ListAlpha2">
    <w:name w:val="List Alpha 2"/>
    <w:basedOn w:val="List2"/>
    <w:rsid w:val="007F3664"/>
    <w:pPr>
      <w:numPr>
        <w:numId w:val="8"/>
      </w:numPr>
    </w:pPr>
  </w:style>
  <w:style w:type="paragraph" w:styleId="List2">
    <w:name w:val="List 2"/>
    <w:basedOn w:val="BodyText"/>
    <w:rsid w:val="007F3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6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6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664"/>
    <w:pPr>
      <w:numPr>
        <w:numId w:val="4"/>
      </w:numPr>
    </w:pPr>
  </w:style>
  <w:style w:type="paragraph" w:styleId="ListContinue2">
    <w:name w:val="List Continue 2"/>
    <w:basedOn w:val="List2"/>
    <w:rsid w:val="007F3664"/>
    <w:pPr>
      <w:ind w:firstLine="0"/>
    </w:pPr>
  </w:style>
  <w:style w:type="paragraph" w:styleId="ListContinue3">
    <w:name w:val="List Continue 3"/>
    <w:basedOn w:val="List3"/>
    <w:rsid w:val="007F3664"/>
    <w:pPr>
      <w:ind w:left="1021" w:firstLine="0"/>
    </w:pPr>
  </w:style>
  <w:style w:type="paragraph" w:styleId="ListContinue4">
    <w:name w:val="List Continue 4"/>
    <w:basedOn w:val="List4"/>
    <w:rsid w:val="007F3664"/>
    <w:pPr>
      <w:ind w:firstLine="0"/>
    </w:pPr>
  </w:style>
  <w:style w:type="paragraph" w:styleId="ListContinue5">
    <w:name w:val="List Continue 5"/>
    <w:basedOn w:val="List5"/>
    <w:rsid w:val="007F3664"/>
    <w:pPr>
      <w:ind w:firstLine="0"/>
    </w:pPr>
  </w:style>
  <w:style w:type="paragraph" w:styleId="ListNumber3">
    <w:name w:val="List Number 3"/>
    <w:basedOn w:val="List3"/>
    <w:rsid w:val="007F3664"/>
    <w:pPr>
      <w:numPr>
        <w:numId w:val="5"/>
      </w:numPr>
    </w:pPr>
  </w:style>
  <w:style w:type="paragraph" w:styleId="ListNumber4">
    <w:name w:val="List Number 4"/>
    <w:basedOn w:val="List4"/>
    <w:rsid w:val="007F3664"/>
    <w:pPr>
      <w:numPr>
        <w:numId w:val="6"/>
      </w:numPr>
    </w:pPr>
  </w:style>
  <w:style w:type="paragraph" w:styleId="ListNumber5">
    <w:name w:val="List Number 5"/>
    <w:basedOn w:val="List5"/>
    <w:rsid w:val="007F3664"/>
    <w:pPr>
      <w:numPr>
        <w:numId w:val="7"/>
      </w:numPr>
    </w:pPr>
  </w:style>
  <w:style w:type="paragraph" w:styleId="BlockText">
    <w:name w:val="Block Text"/>
    <w:basedOn w:val="Normal"/>
    <w:rsid w:val="007F3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664"/>
    <w:rPr>
      <w:sz w:val="16"/>
      <w:vertAlign w:val="superscript"/>
    </w:rPr>
  </w:style>
  <w:style w:type="character" w:customStyle="1" w:styleId="Symbols">
    <w:name w:val="Symbols"/>
    <w:basedOn w:val="DefaultParagraphFont"/>
    <w:rsid w:val="007F3664"/>
    <w:rPr>
      <w:rFonts w:ascii="Symbol" w:hAnsi="Symbol"/>
    </w:rPr>
  </w:style>
  <w:style w:type="character" w:customStyle="1" w:styleId="MenuOptions">
    <w:name w:val="Menu Options"/>
    <w:basedOn w:val="DefaultParagraphFont"/>
    <w:rsid w:val="007F3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664"/>
    <w:rPr>
      <w:b/>
    </w:rPr>
  </w:style>
  <w:style w:type="character" w:customStyle="1" w:styleId="Underlined">
    <w:name w:val="Underlined"/>
    <w:basedOn w:val="DefaultParagraphFont"/>
    <w:rsid w:val="007F3664"/>
    <w:rPr>
      <w:u w:val="single"/>
    </w:rPr>
  </w:style>
  <w:style w:type="paragraph" w:customStyle="1" w:styleId="TableBodyTextRight">
    <w:name w:val="Table Body Text Right"/>
    <w:basedOn w:val="TableBodyText"/>
    <w:rsid w:val="007F3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664"/>
    <w:rPr>
      <w:sz w:val="18"/>
    </w:rPr>
  </w:style>
  <w:style w:type="paragraph" w:customStyle="1" w:styleId="BodySmallRight">
    <w:name w:val="Body Small Right"/>
    <w:basedOn w:val="BodyTextRight"/>
    <w:rsid w:val="007F3664"/>
    <w:rPr>
      <w:sz w:val="18"/>
      <w:szCs w:val="18"/>
    </w:rPr>
  </w:style>
  <w:style w:type="paragraph" w:customStyle="1" w:styleId="MarginEdition">
    <w:name w:val="Margin Edition"/>
    <w:basedOn w:val="MarginNote"/>
    <w:rsid w:val="007F3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664"/>
    <w:rPr>
      <w:sz w:val="2"/>
      <w:szCs w:val="2"/>
    </w:rPr>
  </w:style>
  <w:style w:type="character" w:customStyle="1" w:styleId="Small">
    <w:name w:val="Small"/>
    <w:basedOn w:val="DefaultParagraphFont"/>
    <w:rsid w:val="007F3664"/>
    <w:rPr>
      <w:sz w:val="16"/>
    </w:rPr>
  </w:style>
  <w:style w:type="paragraph" w:customStyle="1" w:styleId="WideTable">
    <w:name w:val="Wide Table"/>
    <w:basedOn w:val="Normal"/>
    <w:rsid w:val="007F3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664"/>
  </w:style>
  <w:style w:type="paragraph" w:styleId="Quote">
    <w:name w:val="Quote"/>
    <w:basedOn w:val="Heading1"/>
    <w:link w:val="QuoteChar"/>
    <w:qFormat/>
    <w:rsid w:val="007F3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664"/>
    <w:pPr>
      <w:pageBreakBefore/>
    </w:pPr>
  </w:style>
  <w:style w:type="paragraph" w:customStyle="1" w:styleId="Border">
    <w:name w:val="Border"/>
    <w:basedOn w:val="Normal"/>
    <w:qFormat/>
    <w:rsid w:val="007F3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664"/>
    <w:rPr>
      <w:u w:val="single"/>
    </w:rPr>
  </w:style>
  <w:style w:type="character" w:customStyle="1" w:styleId="BoldandItalics">
    <w:name w:val="Bold and Italics"/>
    <w:qFormat/>
    <w:rsid w:val="007F3664"/>
    <w:rPr>
      <w:b/>
      <w:i/>
      <w:u w:val="none"/>
    </w:rPr>
  </w:style>
  <w:style w:type="paragraph" w:styleId="BalloonText">
    <w:name w:val="Balloon Text"/>
    <w:basedOn w:val="Normal"/>
    <w:link w:val="BalloonTextChar"/>
    <w:rsid w:val="007F3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664"/>
    <w:pPr>
      <w:spacing w:before="0" w:after="0"/>
    </w:pPr>
  </w:style>
  <w:style w:type="paragraph" w:customStyle="1" w:styleId="BodyTextBold">
    <w:name w:val="Body Text Bold"/>
    <w:basedOn w:val="BodyText"/>
    <w:qFormat/>
    <w:rsid w:val="007F3664"/>
    <w:rPr>
      <w:b/>
    </w:rPr>
  </w:style>
  <w:style w:type="character" w:styleId="Hyperlink">
    <w:name w:val="Hyperlink"/>
    <w:basedOn w:val="DefaultParagraphFont"/>
    <w:uiPriority w:val="99"/>
    <w:unhideWhenUsed/>
    <w:rsid w:val="00F62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843</Words>
  <Characters>5340</Characters>
  <Application>Microsoft Office Word</Application>
  <DocSecurity>0</DocSecurity>
  <Lines>296</Lines>
  <Paragraphs>193</Paragraphs>
  <ScaleCrop>false</ScaleCrop>
  <Company>Author-it Software Corporation Ltd.</Company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MEM21015 Perform precision watch timing and adjustment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2023-02-03T07:14:00Z</dcterms:created>
  <dcterms:modified xsi:type="dcterms:W3CDTF">2023-02-03T07:14:00Z</dcterms:modified>
</cp:coreProperties>
</file>