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15C" w:rsidP="00A66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MEM21013 Service, test and adjust watch escapements</w:t>
      </w:r>
      <w:r>
        <w:fldChar w:fldCharType="end"/>
      </w:r>
    </w:p>
    <w:p w:rsidR="00A6615C" w:rsidP="00A6615C">
      <w:pPr>
        <w:pStyle w:val="Version"/>
        <w:sectPr w:rsidSect="000A0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958" w:rsidP="000A0958">
      <w:pPr>
        <w:pStyle w:val="SuperHeading"/>
      </w:pPr>
      <w:r w:rsidRPr="000A0958">
        <w:t>Assessment Requirements for MEM21013 Service, test and adjust watch escapements</w:t>
      </w:r>
    </w:p>
    <w:p w:rsidR="00000000" w:rsidRPr="000A0958" w:rsidP="000A0958">
      <w:pPr>
        <w:pStyle w:val="Heading1"/>
      </w:pPr>
      <w:bookmarkStart w:id="1" w:name="O_951346"/>
      <w:bookmarkEnd w:id="1"/>
      <w:r w:rsidRPr="000A0958">
        <w:t>Modification History</w:t>
      </w:r>
    </w:p>
    <w:p w:rsidR="00000000" w:rsidRPr="000A0958" w:rsidP="00A6615C">
      <w:pPr>
        <w:pStyle w:val="BodyText"/>
      </w:pPr>
      <w:r w:rsidRPr="000A0958">
        <w:t xml:space="preserve">Release 1. Supersedes and is equivalent to MEM21013A Service, test and adjust watch escapements </w:t>
      </w:r>
    </w:p>
    <w:p w:rsidR="00000000" w:rsidRPr="000A0958" w:rsidP="000A0958">
      <w:pPr>
        <w:pStyle w:val="Heading1"/>
      </w:pPr>
      <w:bookmarkStart w:id="2" w:name="O_951349"/>
      <w:bookmarkEnd w:id="2"/>
      <w:r w:rsidRPr="000A0958">
        <w:t>Performance Evidence</w:t>
      </w:r>
    </w:p>
    <w:p w:rsidR="00000000" w:rsidRPr="000A0958" w:rsidP="00A6615C">
      <w:pPr>
        <w:pStyle w:val="BodyText"/>
      </w:pPr>
      <w:r w:rsidRPr="000A0958">
        <w:t>Evidence required to demonstrate competence in this unit must be relevant to and satisfy the requirements of the elements and performance criteria on at least two (2) occasions and include:</w:t>
      </w:r>
    </w:p>
    <w:p w:rsidR="00000000" w:rsidRPr="000A0958" w:rsidP="000A0958">
      <w:pPr>
        <w:pStyle w:val="ListBullet"/>
      </w:pPr>
      <w:r w:rsidRPr="000A0958">
        <w:t>following work instructions, standard operating procedures (SOPs)</w:t>
      </w:r>
      <w:r w:rsidRPr="000A0958">
        <w:t xml:space="preserve"> and safe work practices </w:t>
      </w:r>
    </w:p>
    <w:p w:rsidR="00000000" w:rsidRPr="000A0958" w:rsidP="000A0958">
      <w:pPr>
        <w:pStyle w:val="ListBullet"/>
      </w:pPr>
      <w:r w:rsidRPr="000A0958">
        <w:t xml:space="preserve">identifying escapement type and construction </w:t>
      </w:r>
    </w:p>
    <w:p w:rsidR="00000000" w:rsidRPr="000A0958" w:rsidP="000A0958">
      <w:pPr>
        <w:pStyle w:val="ListBullet"/>
      </w:pPr>
      <w:r w:rsidRPr="000A0958">
        <w:t xml:space="preserve">liaising with customer, verifying condition and performance, and identifying repair costs </w:t>
      </w:r>
    </w:p>
    <w:p w:rsidR="00000000" w:rsidRPr="000A0958" w:rsidP="000A0958">
      <w:pPr>
        <w:pStyle w:val="ListBullet"/>
      </w:pPr>
      <w:r w:rsidRPr="000A0958">
        <w:t xml:space="preserve">establishing a clean and safe work environment </w:t>
      </w:r>
    </w:p>
    <w:p w:rsidR="00000000" w:rsidRPr="000A0958" w:rsidP="000A0958">
      <w:pPr>
        <w:pStyle w:val="ListBullet"/>
      </w:pPr>
      <w:r w:rsidRPr="000A0958">
        <w:t>identifying faults in escapement components a</w:t>
      </w:r>
      <w:r w:rsidRPr="000A0958">
        <w:t xml:space="preserve">nd condition </w:t>
      </w:r>
    </w:p>
    <w:p w:rsidR="00000000" w:rsidRPr="000A0958" w:rsidP="000A0958">
      <w:pPr>
        <w:pStyle w:val="ListBullet"/>
      </w:pPr>
      <w:r w:rsidRPr="000A0958">
        <w:t xml:space="preserve">rectifying escapement action by replacement and adjustment using appropriate hand tools and equipment </w:t>
      </w:r>
    </w:p>
    <w:p w:rsidR="00000000" w:rsidRPr="000A0958" w:rsidP="000A0958">
      <w:pPr>
        <w:pStyle w:val="ListBullet"/>
      </w:pPr>
      <w:r w:rsidRPr="000A0958">
        <w:t>servicing/lubricating escapement in accordance with manufacturer’s specifications</w:t>
      </w:r>
    </w:p>
    <w:p w:rsidR="00000000" w:rsidRPr="000A0958" w:rsidP="000A0958">
      <w:pPr>
        <w:pStyle w:val="ListBullet"/>
      </w:pPr>
      <w:r w:rsidRPr="000A0958">
        <w:t>reconfirming safety test action including clearance of ho</w:t>
      </w:r>
      <w:r w:rsidRPr="000A0958">
        <w:t xml:space="preserve">rns and clearance of guard pin and assessing watch in various states of winding and position </w:t>
      </w:r>
    </w:p>
    <w:p w:rsidR="00000000" w:rsidRPr="000A0958" w:rsidP="000A0958">
      <w:pPr>
        <w:pStyle w:val="ListBullet"/>
      </w:pPr>
      <w:r w:rsidRPr="000A0958">
        <w:t>recording and documenting repairs.</w:t>
      </w:r>
    </w:p>
    <w:p w:rsidR="00000000" w:rsidRPr="000A0958" w:rsidP="000A0958">
      <w:pPr>
        <w:pStyle w:val="AllowPageBreak"/>
      </w:pPr>
    </w:p>
    <w:p w:rsidR="00000000" w:rsidRPr="000A0958" w:rsidP="000A0958">
      <w:pPr>
        <w:pStyle w:val="Heading1"/>
      </w:pPr>
      <w:bookmarkStart w:id="3" w:name="O_951348"/>
      <w:bookmarkEnd w:id="3"/>
      <w:r w:rsidRPr="000A0958">
        <w:t>Knowledge Evidence</w:t>
      </w:r>
    </w:p>
    <w:p w:rsidR="00000000" w:rsidRPr="000A0958" w:rsidP="00A6615C">
      <w:pPr>
        <w:pStyle w:val="BodyText"/>
      </w:pPr>
      <w:r w:rsidRPr="000A0958">
        <w:t>Evidence required to demonstrate the required knowledge for this unit must be relevant to a</w:t>
      </w:r>
      <w:r w:rsidRPr="000A0958">
        <w:t>nd satisfy the requirements of the elements and performance criteria and include knowledge of:</w:t>
      </w:r>
    </w:p>
    <w:p w:rsidR="00000000" w:rsidRPr="000A0958" w:rsidP="000A0958">
      <w:pPr>
        <w:pStyle w:val="ListBullet"/>
      </w:pPr>
      <w:r w:rsidRPr="000A0958">
        <w:t>safe work practices and procedures and use of personal protective equipment (PPE)</w:t>
      </w:r>
    </w:p>
    <w:p w:rsidR="00000000" w:rsidRPr="000A0958" w:rsidP="000A0958">
      <w:pPr>
        <w:pStyle w:val="ListBullet"/>
      </w:pPr>
      <w:r w:rsidRPr="000A0958">
        <w:t>watch construction</w:t>
      </w:r>
    </w:p>
    <w:p w:rsidR="00000000" w:rsidRPr="000A0958" w:rsidP="000A0958">
      <w:pPr>
        <w:pStyle w:val="ListBullet"/>
      </w:pPr>
      <w:r w:rsidRPr="000A0958">
        <w:t>historic development and common types of escapements</w:t>
      </w:r>
    </w:p>
    <w:p w:rsidR="00000000" w:rsidRPr="000A0958" w:rsidP="000A0958">
      <w:pPr>
        <w:pStyle w:val="ListBullet"/>
      </w:pPr>
      <w:r w:rsidRPr="000A0958">
        <w:t xml:space="preserve">lever </w:t>
      </w:r>
      <w:r w:rsidRPr="000A0958">
        <w:t>escapement function, operation, action, inspection and adjustment</w:t>
      </w:r>
    </w:p>
    <w:p w:rsidR="00000000" w:rsidRPr="000A0958" w:rsidP="000A0958">
      <w:pPr>
        <w:pStyle w:val="ListBullet"/>
      </w:pPr>
      <w:r w:rsidRPr="000A0958">
        <w:t>escapement safety tests</w:t>
      </w:r>
    </w:p>
    <w:p w:rsidR="00000000" w:rsidRPr="000A0958" w:rsidP="000A0958">
      <w:pPr>
        <w:pStyle w:val="ListBullet"/>
      </w:pPr>
      <w:r w:rsidRPr="000A0958">
        <w:t>techniques for replacement/adjustment of pallet stones</w:t>
      </w:r>
    </w:p>
    <w:p w:rsidR="00000000" w:rsidRPr="000A0958" w:rsidP="000A0958">
      <w:pPr>
        <w:pStyle w:val="ListBullet"/>
      </w:pPr>
      <w:r w:rsidRPr="000A0958">
        <w:t>techniques for assessing watch escapement performance/timekeeping.</w:t>
      </w:r>
    </w:p>
    <w:p w:rsidR="00000000" w:rsidRPr="000A0958" w:rsidP="000A0958">
      <w:pPr>
        <w:pStyle w:val="AllowPageBreak"/>
      </w:pPr>
    </w:p>
    <w:p w:rsidR="00000000" w:rsidRPr="000A0958" w:rsidP="000A0958">
      <w:pPr>
        <w:pStyle w:val="Heading1"/>
      </w:pPr>
      <w:bookmarkStart w:id="4" w:name="O_951347"/>
      <w:bookmarkEnd w:id="4"/>
      <w:r w:rsidRPr="000A0958">
        <w:t>Assessment Conditions</w:t>
      </w:r>
    </w:p>
    <w:p w:rsidR="00000000" w:rsidRPr="000A0958" w:rsidP="000A0958">
      <w:pPr>
        <w:pStyle w:val="ListBullet"/>
      </w:pPr>
      <w:r w:rsidRPr="000A0958">
        <w:t>Assessors must:</w:t>
      </w:r>
    </w:p>
    <w:p w:rsidR="00000000" w:rsidRPr="000A0958" w:rsidP="000A0958">
      <w:pPr>
        <w:pStyle w:val="ListBullet2"/>
      </w:pPr>
      <w:r w:rsidRPr="000A0958">
        <w:t>have vocational competency in servicing, testing and adjusting watch escapements at least to the level being assessed with relevant industry knowledge and experience</w:t>
      </w:r>
    </w:p>
    <w:p w:rsidR="00000000" w:rsidRPr="000A0958" w:rsidP="000A0958">
      <w:pPr>
        <w:pStyle w:val="ListBullet2"/>
      </w:pPr>
      <w:r w:rsidRPr="000A0958">
        <w:t xml:space="preserve">satisfy the assessor requirements in the </w:t>
      </w:r>
      <w:r w:rsidRPr="000A0958">
        <w:rPr>
          <w:rStyle w:val="Emphasis"/>
        </w:rPr>
        <w:t>Standards for Registered Trainin</w:t>
      </w:r>
      <w:r w:rsidRPr="000A0958">
        <w:rPr>
          <w:rStyle w:val="Emphasis"/>
        </w:rPr>
        <w:t xml:space="preserve">g Organisations 2015 </w:t>
      </w:r>
      <w:r w:rsidRPr="000A0958">
        <w:t>or its replacement</w:t>
      </w:r>
      <w:r w:rsidRPr="000A0958">
        <w:rPr>
          <w:rStyle w:val="Emphasis"/>
        </w:rPr>
        <w:t xml:space="preserve"> </w:t>
      </w:r>
      <w:r w:rsidRPr="000A0958">
        <w:t xml:space="preserve">and comply with the </w:t>
      </w:r>
      <w:r w:rsidRPr="000A0958">
        <w:rPr>
          <w:rStyle w:val="Emphasis"/>
        </w:rPr>
        <w:t xml:space="preserve">National Vocational Education and Training Regulator Act 2011, </w:t>
      </w:r>
      <w:r w:rsidRPr="000A0958">
        <w:t>its replacement</w:t>
      </w:r>
      <w:r w:rsidRPr="000A0958">
        <w:rPr>
          <w:rStyle w:val="Emphasis"/>
        </w:rPr>
        <w:t xml:space="preserve"> </w:t>
      </w:r>
      <w:r w:rsidRPr="000A0958">
        <w:t>or equivalent legislation covering VET regulation in a non-referring state/territory as the case requires</w:t>
      </w:r>
    </w:p>
    <w:p w:rsidR="00000000" w:rsidRPr="000A0958" w:rsidP="000A0958">
      <w:pPr>
        <w:pStyle w:val="ListBullet"/>
      </w:pPr>
      <w:r w:rsidRPr="000A0958">
        <w:t>Where poss</w:t>
      </w:r>
      <w:r w:rsidRPr="000A0958">
        <w:t>ible assessment must occur in operational workplace situations. Where this is not possible or where personal safety or environmental damage are limiting factors, assessment must occur in a sufficiently rigorous simulated environment that reflects realistic</w:t>
      </w:r>
      <w:r w:rsidRPr="000A0958">
        <w:t xml:space="preserve">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A0958" w:rsidP="000A0958">
      <w:pPr>
        <w:pStyle w:val="ListBullet"/>
      </w:pPr>
      <w:r w:rsidRPr="000A0958">
        <w:t>Conditions for assessment must include access</w:t>
      </w:r>
      <w:r w:rsidRPr="000A0958">
        <w:t xml:space="preserve"> to all tools, equipment, materials and documentation required, including relevant workplace procedures, product and manufacturing specifications</w:t>
      </w:r>
    </w:p>
    <w:p w:rsidR="00000000" w:rsidRPr="000A0958" w:rsidP="000A0958">
      <w:pPr>
        <w:pStyle w:val="ListBullet"/>
      </w:pPr>
      <w:r w:rsidRPr="000A0958">
        <w:t>Assessment processes and techniques must be appropriate to the language, literacy and numeracy requirements of</w:t>
      </w:r>
      <w:r w:rsidRPr="000A0958">
        <w:t xml:space="preserve"> the work being performed and the needs of the candidate.</w:t>
      </w:r>
    </w:p>
    <w:p w:rsidR="00000000" w:rsidRPr="000A0958" w:rsidP="000A0958">
      <w:pPr>
        <w:pStyle w:val="AllowPageBreak"/>
      </w:pPr>
    </w:p>
    <w:p w:rsidR="00000000" w:rsidRPr="000A0958" w:rsidP="000A0958">
      <w:pPr>
        <w:pStyle w:val="Heading1"/>
      </w:pPr>
      <w:bookmarkStart w:id="5" w:name="O_951345"/>
      <w:bookmarkEnd w:id="5"/>
      <w:r w:rsidRPr="000A0958">
        <w:t>Links</w:t>
      </w:r>
    </w:p>
    <w:p w:rsidR="00000000" w:rsidRPr="000A0958" w:rsidP="00A6615C">
      <w:pPr>
        <w:pStyle w:val="BodyText"/>
      </w:pPr>
      <w:r w:rsidRPr="000A09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1016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0958" w:rsidP="000A0958"/>
    <w:sectPr w:rsidSect="000A0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 w:rsidRPr="00A6615C" w:rsidP="00A66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C" w:rsidP="000A0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615C" w:rsidP="000A0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615C" w:rsidP="000A0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958" w:rsidRPr="00A6615C" w:rsidP="00A66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C" w:rsidRPr="002D2AF8" w:rsidP="000A0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MEM21013 Service, test and adjust watch escapements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6615C" w:rsidP="000A0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2EB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2D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3E3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958"/>
  </w:style>
  <w:style w:type="character" w:customStyle="1" w:styleId="Heading1Char">
    <w:name w:val="Heading 1 Char"/>
    <w:basedOn w:val="DefaultParagraphFont"/>
    <w:link w:val="Heading1"/>
    <w:rsid w:val="000A0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9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09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958"/>
    <w:rPr>
      <w:i/>
    </w:rPr>
  </w:style>
  <w:style w:type="paragraph" w:customStyle="1" w:styleId="SuperHeading">
    <w:name w:val="SuperHeading"/>
    <w:basedOn w:val="Normal"/>
    <w:rsid w:val="000A0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958"/>
    <w:rPr>
      <w:b/>
      <w:spacing w:val="0"/>
    </w:rPr>
  </w:style>
  <w:style w:type="paragraph" w:customStyle="1" w:styleId="SuperTitle">
    <w:name w:val="SuperTitle"/>
    <w:basedOn w:val="Title"/>
    <w:rsid w:val="000A0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9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958"/>
  </w:style>
  <w:style w:type="paragraph" w:styleId="TableofFigures">
    <w:name w:val="table of figures"/>
    <w:basedOn w:val="Normal"/>
    <w:next w:val="Normal"/>
    <w:semiHidden/>
    <w:rsid w:val="000A0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958"/>
    <w:rPr>
      <w:rFonts w:ascii="Wingdings" w:hAnsi="Wingdings"/>
    </w:rPr>
  </w:style>
  <w:style w:type="paragraph" w:customStyle="1" w:styleId="TableHeading">
    <w:name w:val="Table Heading"/>
    <w:basedOn w:val="HeadingBase"/>
    <w:rsid w:val="000A0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958"/>
    <w:rPr>
      <w:color w:val="0033CC"/>
      <w:u w:val="none"/>
    </w:rPr>
  </w:style>
  <w:style w:type="paragraph" w:customStyle="1" w:styleId="BodyTextRight">
    <w:name w:val="Body Text Right"/>
    <w:basedOn w:val="BodyText"/>
    <w:rsid w:val="000A0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958"/>
    <w:rPr>
      <w:sz w:val="32"/>
    </w:rPr>
  </w:style>
  <w:style w:type="paragraph" w:customStyle="1" w:styleId="HeadingProcedure">
    <w:name w:val="Heading Procedure"/>
    <w:basedOn w:val="HeadingBase"/>
    <w:next w:val="Normal"/>
    <w:rsid w:val="000A0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958"/>
    <w:pPr>
      <w:spacing w:before="60" w:after="60"/>
    </w:pPr>
  </w:style>
  <w:style w:type="paragraph" w:styleId="ListContinue">
    <w:name w:val="List Continue"/>
    <w:basedOn w:val="List"/>
    <w:rsid w:val="000A0958"/>
    <w:pPr>
      <w:ind w:firstLine="0"/>
    </w:pPr>
  </w:style>
  <w:style w:type="paragraph" w:customStyle="1" w:styleId="ListNote">
    <w:name w:val="List Note"/>
    <w:basedOn w:val="List"/>
    <w:rsid w:val="000A0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958"/>
    <w:rPr>
      <w:rFonts w:ascii="Courier New" w:hAnsi="Courier New"/>
    </w:rPr>
  </w:style>
  <w:style w:type="paragraph" w:customStyle="1" w:styleId="NoteBullet">
    <w:name w:val="Note Bullet"/>
    <w:basedOn w:val="Note"/>
    <w:rsid w:val="000A0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958"/>
    <w:rPr>
      <w:b/>
      <w:smallCaps/>
    </w:rPr>
  </w:style>
  <w:style w:type="paragraph" w:customStyle="1" w:styleId="TableListNumber">
    <w:name w:val="Table List Number"/>
    <w:basedOn w:val="ListNumber"/>
    <w:rsid w:val="000A0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958"/>
    <w:pPr>
      <w:numPr>
        <w:numId w:val="9"/>
      </w:numPr>
    </w:pPr>
  </w:style>
  <w:style w:type="paragraph" w:customStyle="1" w:styleId="ListAlpha2">
    <w:name w:val="List Alpha 2"/>
    <w:basedOn w:val="List2"/>
    <w:rsid w:val="000A0958"/>
    <w:pPr>
      <w:numPr>
        <w:numId w:val="8"/>
      </w:numPr>
    </w:pPr>
  </w:style>
  <w:style w:type="paragraph" w:styleId="List2">
    <w:name w:val="List 2"/>
    <w:basedOn w:val="BodyText"/>
    <w:rsid w:val="000A0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958"/>
    <w:pPr>
      <w:numPr>
        <w:numId w:val="4"/>
      </w:numPr>
    </w:pPr>
  </w:style>
  <w:style w:type="paragraph" w:styleId="ListContinue2">
    <w:name w:val="List Continue 2"/>
    <w:basedOn w:val="List2"/>
    <w:rsid w:val="000A0958"/>
    <w:pPr>
      <w:ind w:firstLine="0"/>
    </w:pPr>
  </w:style>
  <w:style w:type="paragraph" w:styleId="ListContinue3">
    <w:name w:val="List Continue 3"/>
    <w:basedOn w:val="List3"/>
    <w:rsid w:val="000A0958"/>
    <w:pPr>
      <w:ind w:left="1021" w:firstLine="0"/>
    </w:pPr>
  </w:style>
  <w:style w:type="paragraph" w:styleId="ListContinue4">
    <w:name w:val="List Continue 4"/>
    <w:basedOn w:val="List4"/>
    <w:rsid w:val="000A0958"/>
    <w:pPr>
      <w:ind w:firstLine="0"/>
    </w:pPr>
  </w:style>
  <w:style w:type="paragraph" w:styleId="ListContinue5">
    <w:name w:val="List Continue 5"/>
    <w:basedOn w:val="List5"/>
    <w:rsid w:val="000A0958"/>
    <w:pPr>
      <w:ind w:firstLine="0"/>
    </w:pPr>
  </w:style>
  <w:style w:type="paragraph" w:styleId="ListNumber3">
    <w:name w:val="List Number 3"/>
    <w:basedOn w:val="List3"/>
    <w:rsid w:val="000A0958"/>
    <w:pPr>
      <w:numPr>
        <w:numId w:val="5"/>
      </w:numPr>
    </w:pPr>
  </w:style>
  <w:style w:type="paragraph" w:styleId="ListNumber4">
    <w:name w:val="List Number 4"/>
    <w:basedOn w:val="List4"/>
    <w:rsid w:val="000A0958"/>
    <w:pPr>
      <w:numPr>
        <w:numId w:val="6"/>
      </w:numPr>
    </w:pPr>
  </w:style>
  <w:style w:type="paragraph" w:styleId="ListNumber5">
    <w:name w:val="List Number 5"/>
    <w:basedOn w:val="List5"/>
    <w:rsid w:val="000A0958"/>
    <w:pPr>
      <w:numPr>
        <w:numId w:val="7"/>
      </w:numPr>
    </w:pPr>
  </w:style>
  <w:style w:type="paragraph" w:styleId="BlockText">
    <w:name w:val="Block Text"/>
    <w:basedOn w:val="Normal"/>
    <w:rsid w:val="000A0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958"/>
    <w:rPr>
      <w:sz w:val="16"/>
      <w:vertAlign w:val="superscript"/>
    </w:rPr>
  </w:style>
  <w:style w:type="character" w:customStyle="1" w:styleId="Symbols">
    <w:name w:val="Symbols"/>
    <w:basedOn w:val="DefaultParagraphFont"/>
    <w:rsid w:val="000A0958"/>
    <w:rPr>
      <w:rFonts w:ascii="Symbol" w:hAnsi="Symbol"/>
    </w:rPr>
  </w:style>
  <w:style w:type="character" w:customStyle="1" w:styleId="MenuOptions">
    <w:name w:val="Menu Options"/>
    <w:basedOn w:val="DefaultParagraphFont"/>
    <w:rsid w:val="000A0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958"/>
    <w:rPr>
      <w:b/>
    </w:rPr>
  </w:style>
  <w:style w:type="character" w:customStyle="1" w:styleId="Underlined">
    <w:name w:val="Underlined"/>
    <w:basedOn w:val="DefaultParagraphFont"/>
    <w:rsid w:val="000A0958"/>
    <w:rPr>
      <w:u w:val="single"/>
    </w:rPr>
  </w:style>
  <w:style w:type="paragraph" w:customStyle="1" w:styleId="TableBodyTextRight">
    <w:name w:val="Table Body Text Right"/>
    <w:basedOn w:val="TableBodyText"/>
    <w:rsid w:val="000A0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958"/>
    <w:rPr>
      <w:sz w:val="18"/>
    </w:rPr>
  </w:style>
  <w:style w:type="paragraph" w:customStyle="1" w:styleId="BodySmallRight">
    <w:name w:val="Body Small Right"/>
    <w:basedOn w:val="BodyTextRight"/>
    <w:rsid w:val="000A0958"/>
    <w:rPr>
      <w:sz w:val="18"/>
      <w:szCs w:val="18"/>
    </w:rPr>
  </w:style>
  <w:style w:type="paragraph" w:customStyle="1" w:styleId="MarginEdition">
    <w:name w:val="Margin Edition"/>
    <w:basedOn w:val="MarginNote"/>
    <w:rsid w:val="000A0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958"/>
    <w:rPr>
      <w:sz w:val="2"/>
      <w:szCs w:val="2"/>
    </w:rPr>
  </w:style>
  <w:style w:type="character" w:customStyle="1" w:styleId="Small">
    <w:name w:val="Small"/>
    <w:basedOn w:val="DefaultParagraphFont"/>
    <w:rsid w:val="000A0958"/>
    <w:rPr>
      <w:sz w:val="16"/>
    </w:rPr>
  </w:style>
  <w:style w:type="paragraph" w:customStyle="1" w:styleId="WideTable">
    <w:name w:val="Wide Table"/>
    <w:basedOn w:val="Normal"/>
    <w:rsid w:val="000A0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958"/>
  </w:style>
  <w:style w:type="paragraph" w:styleId="Quote">
    <w:name w:val="Quote"/>
    <w:basedOn w:val="Heading1"/>
    <w:link w:val="QuoteChar"/>
    <w:qFormat/>
    <w:rsid w:val="000A0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958"/>
    <w:pPr>
      <w:pageBreakBefore/>
    </w:pPr>
  </w:style>
  <w:style w:type="paragraph" w:customStyle="1" w:styleId="Border">
    <w:name w:val="Border"/>
    <w:basedOn w:val="Normal"/>
    <w:qFormat/>
    <w:rsid w:val="000A0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958"/>
    <w:rPr>
      <w:u w:val="single"/>
    </w:rPr>
  </w:style>
  <w:style w:type="character" w:customStyle="1" w:styleId="BoldandItalics">
    <w:name w:val="Bold and Italics"/>
    <w:qFormat/>
    <w:rsid w:val="000A0958"/>
    <w:rPr>
      <w:b/>
      <w:i/>
      <w:u w:val="none"/>
    </w:rPr>
  </w:style>
  <w:style w:type="paragraph" w:styleId="BalloonText">
    <w:name w:val="Balloon Text"/>
    <w:basedOn w:val="Normal"/>
    <w:link w:val="BalloonTextChar"/>
    <w:rsid w:val="000A0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958"/>
    <w:pPr>
      <w:spacing w:before="0" w:after="0"/>
    </w:pPr>
  </w:style>
  <w:style w:type="paragraph" w:customStyle="1" w:styleId="BodyTextBold">
    <w:name w:val="Body Text Bold"/>
    <w:basedOn w:val="BodyText"/>
    <w:qFormat/>
    <w:rsid w:val="000A0958"/>
    <w:rPr>
      <w:b/>
    </w:rPr>
  </w:style>
  <w:style w:type="character" w:styleId="Hyperlink">
    <w:name w:val="Hyperlink"/>
    <w:basedOn w:val="DefaultParagraphFont"/>
    <w:uiPriority w:val="99"/>
    <w:unhideWhenUsed/>
    <w:rsid w:val="00A66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3025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MEM21013 Service, test and adjust watch escapements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