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AE9" w:rsidP="00102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MEM21012 Service and repair mechanical watch oscillating systems</w:t>
      </w:r>
      <w:r>
        <w:fldChar w:fldCharType="end"/>
      </w:r>
    </w:p>
    <w:p w:rsidR="00102AE9" w:rsidP="00102AE9">
      <w:pPr>
        <w:pStyle w:val="Version"/>
        <w:sectPr w:rsidSect="00A17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C97" w:rsidP="00A17C97">
      <w:pPr>
        <w:pStyle w:val="SuperHeading"/>
      </w:pPr>
      <w:r w:rsidRPr="00A17C97">
        <w:t>Assessment Requirements for MEM21012 Service and repair mechanical watch oscillating systems</w:t>
      </w:r>
    </w:p>
    <w:p w:rsidR="00000000" w:rsidRPr="00A17C97" w:rsidP="00A17C97">
      <w:pPr>
        <w:pStyle w:val="Heading1"/>
      </w:pPr>
      <w:bookmarkStart w:id="1" w:name="O_951327"/>
      <w:bookmarkEnd w:id="1"/>
      <w:r w:rsidRPr="00A17C97">
        <w:t>Modification History</w:t>
      </w:r>
    </w:p>
    <w:p w:rsidR="00000000" w:rsidRPr="00A17C97" w:rsidP="00102AE9">
      <w:pPr>
        <w:pStyle w:val="BodyText"/>
      </w:pPr>
      <w:r w:rsidRPr="00A17C97">
        <w:t xml:space="preserve">Release 1. Supersedes and is equivalent to MEM21012A Service and repair mechanical watch oscillating systems </w:t>
      </w:r>
    </w:p>
    <w:p w:rsidR="00000000" w:rsidRPr="00A17C97" w:rsidP="00A17C97">
      <w:pPr>
        <w:pStyle w:val="Heading1"/>
      </w:pPr>
      <w:bookmarkStart w:id="2" w:name="O_951330"/>
      <w:bookmarkEnd w:id="2"/>
      <w:r w:rsidRPr="00A17C97">
        <w:t>Performance Evidence</w:t>
      </w:r>
    </w:p>
    <w:p w:rsidR="00000000" w:rsidRPr="00A17C97" w:rsidP="00102AE9">
      <w:pPr>
        <w:pStyle w:val="BodyText"/>
      </w:pPr>
      <w:r w:rsidRPr="00A17C97">
        <w:t>Evidence required to demonstrate competence in this unit must be relevant to and satisfy the requirements of the elements and performance criteria on at least two (2) occasions and include:</w:t>
      </w:r>
    </w:p>
    <w:p w:rsidR="00000000" w:rsidRPr="00A17C97" w:rsidP="00A17C97">
      <w:pPr>
        <w:pStyle w:val="ListBullet"/>
      </w:pPr>
      <w:r w:rsidRPr="00A17C97">
        <w:t>following work instructions, standar</w:t>
      </w:r>
      <w:r w:rsidRPr="00A17C97">
        <w:t xml:space="preserve">d operating procedures (SOPs) and safe work practices </w:t>
      </w:r>
    </w:p>
    <w:p w:rsidR="00000000" w:rsidRPr="00A17C97" w:rsidP="00A17C97">
      <w:pPr>
        <w:pStyle w:val="ListBullet"/>
      </w:pPr>
      <w:r w:rsidRPr="00A17C97">
        <w:t xml:space="preserve">liaising with customer, verifying condition and performance, and identifying repair costs </w:t>
      </w:r>
    </w:p>
    <w:p w:rsidR="00000000" w:rsidRPr="00A17C97" w:rsidP="00A17C97">
      <w:pPr>
        <w:pStyle w:val="ListBullet"/>
      </w:pPr>
      <w:r w:rsidRPr="00A17C97">
        <w:t xml:space="preserve">identifying different types and grades of mechanical watch oscillating systems </w:t>
      </w:r>
    </w:p>
    <w:p w:rsidR="00000000" w:rsidRPr="00A17C97" w:rsidP="00A17C97">
      <w:pPr>
        <w:pStyle w:val="ListBullet"/>
      </w:pPr>
      <w:r w:rsidRPr="00A17C97">
        <w:t>diagnosing faults in mechanica</w:t>
      </w:r>
      <w:r w:rsidRPr="00A17C97">
        <w:t>l watch oscillating systems for wear and damage and determining appropriate repair action</w:t>
      </w:r>
    </w:p>
    <w:p w:rsidR="00000000" w:rsidRPr="00A17C97" w:rsidP="00A17C97">
      <w:pPr>
        <w:pStyle w:val="ListBullet"/>
      </w:pPr>
      <w:r w:rsidRPr="00A17C97">
        <w:t xml:space="preserve">inspecting and repairing faults in mechanical watch oscillating systems using appropriate workshop tools and equipment </w:t>
      </w:r>
    </w:p>
    <w:p w:rsidR="00000000" w:rsidRPr="00A17C97" w:rsidP="00A17C97">
      <w:pPr>
        <w:pStyle w:val="ListBullet"/>
      </w:pPr>
      <w:r w:rsidRPr="00A17C97">
        <w:t>repairing a mechanical watch with broken or wo</w:t>
      </w:r>
      <w:r w:rsidRPr="00A17C97">
        <w:t xml:space="preserve">rn balance staff utilising type and method of balance staff removal and replacement </w:t>
      </w:r>
    </w:p>
    <w:p w:rsidR="00000000" w:rsidRPr="00A17C97" w:rsidP="00A17C97">
      <w:pPr>
        <w:pStyle w:val="ListBullet"/>
      </w:pPr>
      <w:r w:rsidRPr="00A17C97">
        <w:t xml:space="preserve">inspecting and adjusting oscillator components for optimum performance in accordance with specifications </w:t>
      </w:r>
    </w:p>
    <w:p w:rsidR="00000000" w:rsidRPr="00A17C97" w:rsidP="00A17C97">
      <w:pPr>
        <w:pStyle w:val="ListBullet"/>
      </w:pPr>
      <w:r w:rsidRPr="00A17C97">
        <w:t>recording and documenting repairs.</w:t>
      </w:r>
    </w:p>
    <w:p w:rsidR="00000000" w:rsidRPr="00A17C97" w:rsidP="00A17C97">
      <w:pPr>
        <w:pStyle w:val="AllowPageBreak"/>
      </w:pPr>
    </w:p>
    <w:p w:rsidR="00000000" w:rsidRPr="00A17C97" w:rsidP="00A17C97">
      <w:pPr>
        <w:pStyle w:val="Heading1"/>
      </w:pPr>
      <w:bookmarkStart w:id="3" w:name="O_951329"/>
      <w:bookmarkEnd w:id="3"/>
      <w:r w:rsidRPr="00A17C97">
        <w:t>Knowledge Evi</w:t>
      </w:r>
      <w:r w:rsidRPr="00A17C97">
        <w:t>dence</w:t>
      </w:r>
    </w:p>
    <w:p w:rsidR="00000000" w:rsidRPr="00A17C97" w:rsidP="00102AE9">
      <w:pPr>
        <w:pStyle w:val="BodyText"/>
      </w:pPr>
      <w:r w:rsidRPr="00A17C97">
        <w:t>Evidence required to demonstrate the required knowledge for this unit must be relevant to and satisfy the requirements of the elements and performance criteria and include knowledge of:</w:t>
      </w:r>
    </w:p>
    <w:p w:rsidR="00000000" w:rsidRPr="00A17C97" w:rsidP="00A17C97">
      <w:pPr>
        <w:pStyle w:val="ListBullet"/>
      </w:pPr>
      <w:r w:rsidRPr="00A17C97">
        <w:t>safe work practices and procedures and use of personal protecti</w:t>
      </w:r>
      <w:r w:rsidRPr="00A17C97">
        <w:t>ve equipment (PPE)</w:t>
      </w:r>
    </w:p>
    <w:p w:rsidR="00000000" w:rsidRPr="00A17C97" w:rsidP="00A17C97">
      <w:pPr>
        <w:pStyle w:val="ListBullet"/>
      </w:pPr>
      <w:r w:rsidRPr="00A17C97">
        <w:t xml:space="preserve">types and grades of balance wheel construction </w:t>
      </w:r>
    </w:p>
    <w:p w:rsidR="00000000" w:rsidRPr="00A17C97" w:rsidP="00A17C97">
      <w:pPr>
        <w:pStyle w:val="ListBullet"/>
      </w:pPr>
      <w:r w:rsidRPr="00A17C97">
        <w:t>types of balance staffs construction</w:t>
      </w:r>
    </w:p>
    <w:p w:rsidR="00000000" w:rsidRPr="00A17C97" w:rsidP="00A17C97">
      <w:pPr>
        <w:pStyle w:val="ListBullet"/>
      </w:pPr>
      <w:r w:rsidRPr="00A17C97">
        <w:t>types of balance spring construction</w:t>
      </w:r>
    </w:p>
    <w:p w:rsidR="00000000" w:rsidRPr="00A17C97" w:rsidP="00A17C97">
      <w:pPr>
        <w:pStyle w:val="ListBullet"/>
      </w:pPr>
      <w:r w:rsidRPr="00A17C97">
        <w:t>types of rollers and roller jewels construction</w:t>
      </w:r>
    </w:p>
    <w:p w:rsidR="00000000" w:rsidRPr="00A17C97" w:rsidP="00A17C97">
      <w:pPr>
        <w:pStyle w:val="ListBullet"/>
      </w:pPr>
      <w:r w:rsidRPr="00A17C97">
        <w:t>balance staff replacement techniques and workshop procedures</w:t>
      </w:r>
    </w:p>
    <w:p w:rsidR="00000000" w:rsidRPr="00A17C97" w:rsidP="00A17C97">
      <w:pPr>
        <w:pStyle w:val="ListBullet"/>
      </w:pPr>
      <w:r w:rsidRPr="00A17C97">
        <w:t>performance characteristics of balance wheel completes</w:t>
      </w:r>
    </w:p>
    <w:p w:rsidR="00000000" w:rsidRPr="00A17C97" w:rsidP="00A17C97">
      <w:pPr>
        <w:pStyle w:val="ListBullet"/>
      </w:pPr>
      <w:r w:rsidRPr="00A17C97">
        <w:t>balance spring adjusting techniques</w:t>
      </w:r>
    </w:p>
    <w:p w:rsidR="00000000" w:rsidRPr="00A17C97" w:rsidP="00A17C97">
      <w:pPr>
        <w:pStyle w:val="ListBullet"/>
      </w:pPr>
      <w:r w:rsidRPr="00A17C97">
        <w:t>operating principles of shock protection devices</w:t>
      </w:r>
    </w:p>
    <w:p w:rsidR="00000000" w:rsidRPr="00A17C97" w:rsidP="00A17C97">
      <w:pPr>
        <w:pStyle w:val="ListBullet"/>
      </w:pPr>
      <w:r w:rsidRPr="00A17C97">
        <w:t>construction of shock protection devices</w:t>
      </w:r>
    </w:p>
    <w:p w:rsidR="00000000" w:rsidRPr="00A17C97" w:rsidP="00A17C97">
      <w:pPr>
        <w:pStyle w:val="ListBullet"/>
      </w:pPr>
      <w:r w:rsidRPr="00A17C97">
        <w:t>watch servicing procedures and techniques.</w:t>
      </w:r>
    </w:p>
    <w:p w:rsidR="00000000" w:rsidRPr="00A17C97" w:rsidP="00A17C97">
      <w:pPr>
        <w:pStyle w:val="AllowPageBreak"/>
      </w:pPr>
    </w:p>
    <w:p w:rsidR="00000000" w:rsidRPr="00A17C97" w:rsidP="00A17C97">
      <w:pPr>
        <w:pStyle w:val="Heading1"/>
      </w:pPr>
      <w:bookmarkStart w:id="4" w:name="O_951328"/>
      <w:bookmarkEnd w:id="4"/>
      <w:r w:rsidRPr="00A17C97">
        <w:t>Assessment Cond</w:t>
      </w:r>
      <w:r w:rsidRPr="00A17C97">
        <w:t>itions</w:t>
      </w:r>
    </w:p>
    <w:p w:rsidR="00000000" w:rsidRPr="00A17C97" w:rsidP="00A17C97">
      <w:pPr>
        <w:pStyle w:val="ListBullet"/>
      </w:pPr>
      <w:r w:rsidRPr="00A17C97">
        <w:t>Assessors must:</w:t>
      </w:r>
    </w:p>
    <w:p w:rsidR="00000000" w:rsidRPr="00A17C97" w:rsidP="00A17C97">
      <w:pPr>
        <w:pStyle w:val="ListBullet2"/>
      </w:pPr>
      <w:r w:rsidRPr="00A17C97">
        <w:t>have vocational competency in servicing and repairing mechanical watch oscillating systems at least to the level being assessed with relevant industry knowledge and experience</w:t>
      </w:r>
    </w:p>
    <w:p w:rsidR="00000000" w:rsidRPr="00A17C97" w:rsidP="00A17C97">
      <w:pPr>
        <w:pStyle w:val="ListBullet2"/>
      </w:pPr>
      <w:r w:rsidRPr="00A17C97">
        <w:t xml:space="preserve">satisfy the assessor requirements in the </w:t>
      </w:r>
      <w:r w:rsidRPr="00A17C97">
        <w:rPr>
          <w:rStyle w:val="Emphasis"/>
        </w:rPr>
        <w:t xml:space="preserve">Standards for </w:t>
      </w:r>
      <w:r w:rsidRPr="00A17C97">
        <w:rPr>
          <w:rStyle w:val="Emphasis"/>
        </w:rPr>
        <w:t xml:space="preserve">Registered Training Organisations 2015 </w:t>
      </w:r>
      <w:r w:rsidRPr="00A17C97">
        <w:t>or its replacement</w:t>
      </w:r>
      <w:r w:rsidRPr="00A17C97">
        <w:rPr>
          <w:rStyle w:val="Emphasis"/>
        </w:rPr>
        <w:t xml:space="preserve"> </w:t>
      </w:r>
      <w:r w:rsidRPr="00A17C97">
        <w:t xml:space="preserve">and comply with the </w:t>
      </w:r>
      <w:r w:rsidRPr="00A17C97">
        <w:rPr>
          <w:rStyle w:val="Emphasis"/>
        </w:rPr>
        <w:t xml:space="preserve">National Vocational Education and Training Regulator Act 2011, </w:t>
      </w:r>
      <w:r w:rsidRPr="00A17C97">
        <w:t>its replacement</w:t>
      </w:r>
      <w:r w:rsidRPr="00A17C97">
        <w:rPr>
          <w:rStyle w:val="Emphasis"/>
        </w:rPr>
        <w:t xml:space="preserve"> </w:t>
      </w:r>
      <w:r w:rsidRPr="00A17C97">
        <w:t>or equivalent legislation covering VET regulation in a non-referring state/territory as the case re</w:t>
      </w:r>
      <w:r w:rsidRPr="00A17C97">
        <w:t>quires</w:t>
      </w:r>
    </w:p>
    <w:p w:rsidR="00000000" w:rsidRPr="00A17C97" w:rsidP="00A17C97">
      <w:pPr>
        <w:pStyle w:val="ListBullet"/>
      </w:pPr>
      <w:r w:rsidRPr="00A17C97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that </w:t>
      </w:r>
      <w:r w:rsidRPr="00A17C97">
        <w:t>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17C97" w:rsidP="00A17C97">
      <w:pPr>
        <w:pStyle w:val="ListBullet"/>
      </w:pPr>
      <w:r w:rsidRPr="00A17C97">
        <w:t>Conditions for assessment m</w:t>
      </w:r>
      <w:r w:rsidRPr="00A17C97">
        <w:t>ust include access to all tools, equipment, materials and documentation required, including relevant workplace procedures, product and manufacturing specifications</w:t>
      </w:r>
    </w:p>
    <w:p w:rsidR="00000000" w:rsidRPr="00A17C97" w:rsidP="00A17C97">
      <w:pPr>
        <w:pStyle w:val="ListBullet"/>
      </w:pPr>
      <w:r w:rsidRPr="00A17C97">
        <w:t>Assessment processes and techniques must be appropriate to the language, literacy and numera</w:t>
      </w:r>
      <w:r w:rsidRPr="00A17C97">
        <w:t>cy requirements of the work being performed and the needs of the candidate.</w:t>
      </w:r>
    </w:p>
    <w:p w:rsidR="00000000" w:rsidRPr="00A17C97" w:rsidP="00A17C97">
      <w:pPr>
        <w:pStyle w:val="AllowPageBreak"/>
      </w:pPr>
    </w:p>
    <w:p w:rsidR="00000000" w:rsidRPr="00A17C97" w:rsidP="00A17C97">
      <w:pPr>
        <w:pStyle w:val="Heading1"/>
      </w:pPr>
      <w:bookmarkStart w:id="5" w:name="O_951326"/>
      <w:bookmarkEnd w:id="5"/>
      <w:r w:rsidRPr="00A17C97">
        <w:t>Links</w:t>
      </w:r>
    </w:p>
    <w:p w:rsidR="00000000" w:rsidRPr="00A17C97" w:rsidP="00102AE9">
      <w:pPr>
        <w:pStyle w:val="BodyText"/>
      </w:pPr>
      <w:r w:rsidRPr="00A17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22B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17C97" w:rsidP="00A17C97"/>
    <w:sectPr w:rsidSect="00A17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97" w:rsidRPr="00102AE9" w:rsidP="00102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E9" w:rsidP="00A17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AE9" w:rsidP="00A17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2AE9" w:rsidP="00A17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C97" w:rsidRPr="00102AE9" w:rsidP="00102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AE9" w:rsidRPr="002D2AF8" w:rsidP="00A17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MEM21012 Service and repair mechanical watch oscillating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02AE9" w:rsidP="00A17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0E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0C7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D44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C97"/>
  </w:style>
  <w:style w:type="character" w:customStyle="1" w:styleId="Heading1Char">
    <w:name w:val="Heading 1 Char"/>
    <w:basedOn w:val="DefaultParagraphFont"/>
    <w:link w:val="Heading1"/>
    <w:rsid w:val="00A17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C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C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C97"/>
    <w:rPr>
      <w:i/>
    </w:rPr>
  </w:style>
  <w:style w:type="paragraph" w:customStyle="1" w:styleId="SuperHeading">
    <w:name w:val="SuperHeading"/>
    <w:basedOn w:val="Normal"/>
    <w:rsid w:val="00A17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C97"/>
    <w:rPr>
      <w:b/>
      <w:spacing w:val="0"/>
    </w:rPr>
  </w:style>
  <w:style w:type="paragraph" w:customStyle="1" w:styleId="SuperTitle">
    <w:name w:val="SuperTitle"/>
    <w:basedOn w:val="Title"/>
    <w:rsid w:val="00A17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C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C97"/>
  </w:style>
  <w:style w:type="paragraph" w:styleId="TableofFigures">
    <w:name w:val="table of figures"/>
    <w:basedOn w:val="Normal"/>
    <w:next w:val="Normal"/>
    <w:semiHidden/>
    <w:rsid w:val="00A17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C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C97"/>
    <w:rPr>
      <w:rFonts w:ascii="Wingdings" w:hAnsi="Wingdings"/>
    </w:rPr>
  </w:style>
  <w:style w:type="paragraph" w:customStyle="1" w:styleId="TableHeading">
    <w:name w:val="Table Heading"/>
    <w:basedOn w:val="HeadingBase"/>
    <w:rsid w:val="00A17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C97"/>
    <w:rPr>
      <w:color w:val="0033CC"/>
      <w:u w:val="none"/>
    </w:rPr>
  </w:style>
  <w:style w:type="paragraph" w:customStyle="1" w:styleId="BodyTextRight">
    <w:name w:val="Body Text Right"/>
    <w:basedOn w:val="BodyText"/>
    <w:rsid w:val="00A17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C97"/>
    <w:rPr>
      <w:sz w:val="32"/>
    </w:rPr>
  </w:style>
  <w:style w:type="paragraph" w:customStyle="1" w:styleId="HeadingProcedure">
    <w:name w:val="Heading Procedure"/>
    <w:basedOn w:val="HeadingBase"/>
    <w:next w:val="Normal"/>
    <w:rsid w:val="00A17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C97"/>
    <w:pPr>
      <w:spacing w:before="60" w:after="60"/>
    </w:pPr>
  </w:style>
  <w:style w:type="paragraph" w:styleId="ListContinue">
    <w:name w:val="List Continue"/>
    <w:basedOn w:val="List"/>
    <w:rsid w:val="00A17C97"/>
    <w:pPr>
      <w:ind w:firstLine="0"/>
    </w:pPr>
  </w:style>
  <w:style w:type="paragraph" w:customStyle="1" w:styleId="ListNote">
    <w:name w:val="List Note"/>
    <w:basedOn w:val="List"/>
    <w:rsid w:val="00A17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C97"/>
    <w:rPr>
      <w:rFonts w:ascii="Courier New" w:hAnsi="Courier New"/>
    </w:rPr>
  </w:style>
  <w:style w:type="paragraph" w:customStyle="1" w:styleId="NoteBullet">
    <w:name w:val="Note Bullet"/>
    <w:basedOn w:val="Note"/>
    <w:rsid w:val="00A17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C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C97"/>
    <w:rPr>
      <w:b/>
      <w:smallCaps/>
    </w:rPr>
  </w:style>
  <w:style w:type="paragraph" w:customStyle="1" w:styleId="TableListNumber">
    <w:name w:val="Table List Number"/>
    <w:basedOn w:val="ListNumber"/>
    <w:rsid w:val="00A17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C97"/>
    <w:pPr>
      <w:numPr>
        <w:numId w:val="9"/>
      </w:numPr>
    </w:pPr>
  </w:style>
  <w:style w:type="paragraph" w:customStyle="1" w:styleId="ListAlpha2">
    <w:name w:val="List Alpha 2"/>
    <w:basedOn w:val="List2"/>
    <w:rsid w:val="00A17C97"/>
    <w:pPr>
      <w:numPr>
        <w:numId w:val="8"/>
      </w:numPr>
    </w:pPr>
  </w:style>
  <w:style w:type="paragraph" w:styleId="List2">
    <w:name w:val="List 2"/>
    <w:basedOn w:val="BodyText"/>
    <w:rsid w:val="00A17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C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C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C97"/>
    <w:pPr>
      <w:numPr>
        <w:numId w:val="4"/>
      </w:numPr>
    </w:pPr>
  </w:style>
  <w:style w:type="paragraph" w:styleId="ListContinue2">
    <w:name w:val="List Continue 2"/>
    <w:basedOn w:val="List2"/>
    <w:rsid w:val="00A17C97"/>
    <w:pPr>
      <w:ind w:firstLine="0"/>
    </w:pPr>
  </w:style>
  <w:style w:type="paragraph" w:styleId="ListContinue3">
    <w:name w:val="List Continue 3"/>
    <w:basedOn w:val="List3"/>
    <w:rsid w:val="00A17C97"/>
    <w:pPr>
      <w:ind w:left="1021" w:firstLine="0"/>
    </w:pPr>
  </w:style>
  <w:style w:type="paragraph" w:styleId="ListContinue4">
    <w:name w:val="List Continue 4"/>
    <w:basedOn w:val="List4"/>
    <w:rsid w:val="00A17C97"/>
    <w:pPr>
      <w:ind w:firstLine="0"/>
    </w:pPr>
  </w:style>
  <w:style w:type="paragraph" w:styleId="ListContinue5">
    <w:name w:val="List Continue 5"/>
    <w:basedOn w:val="List5"/>
    <w:rsid w:val="00A17C97"/>
    <w:pPr>
      <w:ind w:firstLine="0"/>
    </w:pPr>
  </w:style>
  <w:style w:type="paragraph" w:styleId="ListNumber3">
    <w:name w:val="List Number 3"/>
    <w:basedOn w:val="List3"/>
    <w:rsid w:val="00A17C97"/>
    <w:pPr>
      <w:numPr>
        <w:numId w:val="5"/>
      </w:numPr>
    </w:pPr>
  </w:style>
  <w:style w:type="paragraph" w:styleId="ListNumber4">
    <w:name w:val="List Number 4"/>
    <w:basedOn w:val="List4"/>
    <w:rsid w:val="00A17C97"/>
    <w:pPr>
      <w:numPr>
        <w:numId w:val="6"/>
      </w:numPr>
    </w:pPr>
  </w:style>
  <w:style w:type="paragraph" w:styleId="ListNumber5">
    <w:name w:val="List Number 5"/>
    <w:basedOn w:val="List5"/>
    <w:rsid w:val="00A17C97"/>
    <w:pPr>
      <w:numPr>
        <w:numId w:val="7"/>
      </w:numPr>
    </w:pPr>
  </w:style>
  <w:style w:type="paragraph" w:styleId="BlockText">
    <w:name w:val="Block Text"/>
    <w:basedOn w:val="Normal"/>
    <w:rsid w:val="00A17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C97"/>
    <w:rPr>
      <w:sz w:val="16"/>
      <w:vertAlign w:val="superscript"/>
    </w:rPr>
  </w:style>
  <w:style w:type="character" w:customStyle="1" w:styleId="Symbols">
    <w:name w:val="Symbols"/>
    <w:basedOn w:val="DefaultParagraphFont"/>
    <w:rsid w:val="00A17C97"/>
    <w:rPr>
      <w:rFonts w:ascii="Symbol" w:hAnsi="Symbol"/>
    </w:rPr>
  </w:style>
  <w:style w:type="character" w:customStyle="1" w:styleId="MenuOptions">
    <w:name w:val="Menu Options"/>
    <w:basedOn w:val="DefaultParagraphFont"/>
    <w:rsid w:val="00A17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C97"/>
    <w:rPr>
      <w:b/>
    </w:rPr>
  </w:style>
  <w:style w:type="character" w:customStyle="1" w:styleId="Underlined">
    <w:name w:val="Underlined"/>
    <w:basedOn w:val="DefaultParagraphFont"/>
    <w:rsid w:val="00A17C97"/>
    <w:rPr>
      <w:u w:val="single"/>
    </w:rPr>
  </w:style>
  <w:style w:type="paragraph" w:customStyle="1" w:styleId="TableBodyTextRight">
    <w:name w:val="Table Body Text Right"/>
    <w:basedOn w:val="TableBodyText"/>
    <w:rsid w:val="00A17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C97"/>
    <w:rPr>
      <w:sz w:val="18"/>
    </w:rPr>
  </w:style>
  <w:style w:type="paragraph" w:customStyle="1" w:styleId="BodySmallRight">
    <w:name w:val="Body Small Right"/>
    <w:basedOn w:val="BodyTextRight"/>
    <w:rsid w:val="00A17C97"/>
    <w:rPr>
      <w:sz w:val="18"/>
      <w:szCs w:val="18"/>
    </w:rPr>
  </w:style>
  <w:style w:type="paragraph" w:customStyle="1" w:styleId="MarginEdition">
    <w:name w:val="Margin Edition"/>
    <w:basedOn w:val="MarginNote"/>
    <w:rsid w:val="00A17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C97"/>
    <w:rPr>
      <w:sz w:val="2"/>
      <w:szCs w:val="2"/>
    </w:rPr>
  </w:style>
  <w:style w:type="character" w:customStyle="1" w:styleId="Small">
    <w:name w:val="Small"/>
    <w:basedOn w:val="DefaultParagraphFont"/>
    <w:rsid w:val="00A17C97"/>
    <w:rPr>
      <w:sz w:val="16"/>
    </w:rPr>
  </w:style>
  <w:style w:type="paragraph" w:customStyle="1" w:styleId="WideTable">
    <w:name w:val="Wide Table"/>
    <w:basedOn w:val="Normal"/>
    <w:rsid w:val="00A17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C97"/>
  </w:style>
  <w:style w:type="paragraph" w:styleId="Quote">
    <w:name w:val="Quote"/>
    <w:basedOn w:val="Heading1"/>
    <w:link w:val="QuoteChar"/>
    <w:qFormat/>
    <w:rsid w:val="00A17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C97"/>
    <w:pPr>
      <w:pageBreakBefore/>
    </w:pPr>
  </w:style>
  <w:style w:type="paragraph" w:customStyle="1" w:styleId="Border">
    <w:name w:val="Border"/>
    <w:basedOn w:val="Normal"/>
    <w:qFormat/>
    <w:rsid w:val="00A17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C97"/>
    <w:rPr>
      <w:u w:val="single"/>
    </w:rPr>
  </w:style>
  <w:style w:type="character" w:customStyle="1" w:styleId="BoldandItalics">
    <w:name w:val="Bold and Italics"/>
    <w:qFormat/>
    <w:rsid w:val="00A17C97"/>
    <w:rPr>
      <w:b/>
      <w:i/>
      <w:u w:val="none"/>
    </w:rPr>
  </w:style>
  <w:style w:type="paragraph" w:styleId="BalloonText">
    <w:name w:val="Balloon Text"/>
    <w:basedOn w:val="Normal"/>
    <w:link w:val="BalloonTextChar"/>
    <w:rsid w:val="00A17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C97"/>
    <w:pPr>
      <w:spacing w:before="0" w:after="0"/>
    </w:pPr>
  </w:style>
  <w:style w:type="paragraph" w:customStyle="1" w:styleId="BodyTextBold">
    <w:name w:val="Body Text Bold"/>
    <w:basedOn w:val="BodyText"/>
    <w:qFormat/>
    <w:rsid w:val="00A17C97"/>
    <w:rPr>
      <w:b/>
    </w:rPr>
  </w:style>
  <w:style w:type="character" w:styleId="Hyperlink">
    <w:name w:val="Hyperlink"/>
    <w:basedOn w:val="DefaultParagraphFont"/>
    <w:uiPriority w:val="99"/>
    <w:unhideWhenUsed/>
    <w:rsid w:val="00102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3267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MEM21012 Service and repair mechanical watch oscillating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2023-02-03T06:53:00Z</dcterms:modified>
</cp:coreProperties>
</file>