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7786" w:rsidP="00AE7786">
      <w:pPr>
        <w:pStyle w:val="Title"/>
      </w:pPr>
      <w:r>
        <w:fldChar w:fldCharType="begin"/>
      </w:r>
      <w:r>
        <w:instrText xml:space="preserve"> TITLE   \* MERGEFORMAT </w:instrText>
      </w:r>
      <w:r>
        <w:fldChar w:fldCharType="separate"/>
      </w:r>
      <w:r>
        <w:t>MEM21011 Service calendar and other dial indication mechanisms for watches</w:t>
      </w:r>
      <w:r>
        <w:fldChar w:fldCharType="end"/>
      </w:r>
    </w:p>
    <w:p w:rsidR="00AE7786" w:rsidP="00AE7786">
      <w:pPr>
        <w:pStyle w:val="Version"/>
        <w:sectPr w:rsidSect="00667B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7BD2" w:rsidP="00667BD2">
      <w:pPr>
        <w:pStyle w:val="SuperHeading"/>
      </w:pPr>
      <w:r w:rsidRPr="00667BD2">
        <w:t>MEM21011 Service calendar and other dial indication mechanisms for watches</w:t>
      </w:r>
    </w:p>
    <w:p w:rsidR="00000000" w:rsidRPr="00667BD2" w:rsidP="00667BD2">
      <w:pPr>
        <w:pStyle w:val="Heading1"/>
      </w:pPr>
      <w:bookmarkStart w:id="1" w:name="O_951312"/>
      <w:bookmarkEnd w:id="1"/>
      <w:r w:rsidRPr="00667BD2">
        <w:t>Modification History</w:t>
      </w:r>
    </w:p>
    <w:p w:rsidR="00000000" w:rsidRPr="00667BD2" w:rsidP="00AE7786">
      <w:pPr>
        <w:pStyle w:val="BodyText"/>
      </w:pPr>
      <w:r w:rsidRPr="00667BD2">
        <w:t xml:space="preserve">Release 1. Supersedes and is equivalent to MEM21011A Service calendar and other dial indication mechanisms for watches </w:t>
      </w:r>
    </w:p>
    <w:p w:rsidR="00000000" w:rsidRPr="00667BD2" w:rsidP="00667BD2">
      <w:pPr>
        <w:pStyle w:val="Heading1"/>
      </w:pPr>
      <w:bookmarkStart w:id="2" w:name="O_951320"/>
      <w:bookmarkEnd w:id="2"/>
      <w:r w:rsidRPr="00667BD2">
        <w:t>Application</w:t>
      </w:r>
    </w:p>
    <w:p w:rsidR="00000000" w:rsidRPr="00667BD2" w:rsidP="00AE7786">
      <w:pPr>
        <w:pStyle w:val="BodyText"/>
      </w:pPr>
      <w:r w:rsidRPr="00667BD2">
        <w:t>This unit of competency defines the skills and knowledge required to service and repair watches with different types or combinations of calendar and other dial indications. This work is often performed in conjunction with major servicing on bot</w:t>
      </w:r>
      <w:r w:rsidRPr="00667BD2">
        <w:t xml:space="preserve">h mechanical and quartz watches.  </w:t>
      </w:r>
    </w:p>
    <w:p w:rsidR="00000000" w:rsidRPr="00667BD2" w:rsidP="00AE7786">
      <w:pPr>
        <w:pStyle w:val="BodyText"/>
      </w:pPr>
      <w:r w:rsidRPr="00667BD2">
        <w:t xml:space="preserve">No licensing, legislative or certification requirements apply to this unit at the time of publication. </w:t>
      </w:r>
    </w:p>
    <w:p w:rsidR="00000000" w:rsidRPr="00667BD2" w:rsidP="00AE7786">
      <w:pPr>
        <w:pStyle w:val="Heading3"/>
      </w:pPr>
      <w:r w:rsidRPr="00667BD2">
        <w:rPr>
          <w:rStyle w:val="SpecialBold"/>
        </w:rPr>
        <w:t>Band:  A</w:t>
      </w:r>
    </w:p>
    <w:p w:rsidR="00000000" w:rsidRPr="00667BD2" w:rsidP="00AE7786">
      <w:pPr>
        <w:pStyle w:val="Heading3"/>
      </w:pPr>
      <w:r w:rsidRPr="00667BD2">
        <w:rPr>
          <w:rStyle w:val="SpecialBold"/>
        </w:rPr>
        <w:t xml:space="preserve">Unit weight:  4 </w:t>
      </w:r>
    </w:p>
    <w:p w:rsidR="00000000" w:rsidRPr="00667BD2" w:rsidP="00667BD2">
      <w:pPr>
        <w:pStyle w:val="Heading1"/>
      </w:pPr>
      <w:bookmarkStart w:id="3" w:name="O_951319"/>
      <w:bookmarkEnd w:id="3"/>
      <w:r w:rsidRPr="00667BD2">
        <w:t>Pre-requisite Unit</w:t>
      </w:r>
    </w:p>
    <w:tbl>
      <w:tblPr>
        <w:tblW w:w="0" w:type="auto"/>
        <w:tblLayout w:type="fixed"/>
        <w:tblCellMar>
          <w:left w:w="62" w:type="dxa"/>
          <w:right w:w="62" w:type="dxa"/>
        </w:tblCellMar>
        <w:tblLook w:val="0000"/>
      </w:tblPr>
      <w:tblGrid>
        <w:gridCol w:w="2186"/>
        <w:gridCol w:w="6886"/>
      </w:tblGrid>
      <w:tr w:rsidTr="00667BD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t>MEM11011</w:t>
            </w:r>
          </w:p>
        </w:tc>
        <w:tc>
          <w:tcPr>
            <w:tcW w:w="6886"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t>Undertake manual handling</w:t>
            </w:r>
          </w:p>
        </w:tc>
      </w:tr>
      <w:tr w:rsidTr="00667BD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t>MEM13015</w:t>
            </w:r>
          </w:p>
        </w:tc>
        <w:tc>
          <w:tcPr>
            <w:tcW w:w="6886"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t>Work saf</w:t>
            </w:r>
            <w:r w:rsidRPr="00667BD2">
              <w:t>ely and effectively in manufacturing and engineering</w:t>
            </w:r>
          </w:p>
        </w:tc>
      </w:tr>
      <w:tr w:rsidTr="00667BD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t>MEM16006</w:t>
            </w:r>
          </w:p>
        </w:tc>
        <w:tc>
          <w:tcPr>
            <w:tcW w:w="6886"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t>Organise and communicate information</w:t>
            </w:r>
          </w:p>
        </w:tc>
      </w:tr>
      <w:tr w:rsidTr="00667BD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t>MEM18001</w:t>
            </w:r>
          </w:p>
        </w:tc>
        <w:tc>
          <w:tcPr>
            <w:tcW w:w="6886"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t>Use hand tools</w:t>
            </w:r>
          </w:p>
        </w:tc>
      </w:tr>
      <w:tr w:rsidTr="00667BD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t>MEM21008</w:t>
            </w:r>
          </w:p>
        </w:tc>
        <w:tc>
          <w:tcPr>
            <w:tcW w:w="6886"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t>Service mechanical watches</w:t>
            </w:r>
          </w:p>
        </w:tc>
      </w:tr>
      <w:tr w:rsidTr="00667BD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t>MEM21009</w:t>
            </w:r>
          </w:p>
        </w:tc>
        <w:tc>
          <w:tcPr>
            <w:tcW w:w="6886"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t>Inspect, diagnose, adjust and repair mechanical watches</w:t>
            </w:r>
          </w:p>
        </w:tc>
      </w:tr>
      <w:tr w:rsidTr="00667BD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t>MEM21010</w:t>
            </w:r>
          </w:p>
        </w:tc>
        <w:tc>
          <w:tcPr>
            <w:tcW w:w="6886" w:type="dxa"/>
            <w:tcBorders>
              <w:top w:val="nil"/>
              <w:left w:val="nil"/>
              <w:bottom w:val="nil"/>
              <w:right w:val="nil"/>
            </w:tcBorders>
            <w:tcMar>
              <w:top w:w="0" w:type="dxa"/>
              <w:left w:w="62" w:type="dxa"/>
              <w:bottom w:w="0" w:type="dxa"/>
              <w:right w:w="62" w:type="dxa"/>
            </w:tcMar>
          </w:tcPr>
          <w:p w:rsidR="00000000" w:rsidRPr="00667BD2" w:rsidP="00667BD2">
            <w:pPr>
              <w:pStyle w:val="BodyText"/>
            </w:pPr>
            <w:r w:rsidRPr="00667BD2">
              <w:t>Service watch power generating systems</w:t>
            </w:r>
          </w:p>
        </w:tc>
      </w:tr>
    </w:tbl>
    <w:p w:rsidR="00000000" w:rsidRPr="00667BD2" w:rsidP="00667BD2">
      <w:pPr>
        <w:pStyle w:val="BodyText"/>
      </w:pPr>
    </w:p>
    <w:p w:rsidR="00000000" w:rsidRPr="00667BD2" w:rsidP="00667BD2">
      <w:pPr>
        <w:pStyle w:val="AllowPageBreak"/>
      </w:pPr>
    </w:p>
    <w:p w:rsidR="00000000" w:rsidRPr="00667BD2" w:rsidP="00667BD2">
      <w:pPr>
        <w:pStyle w:val="Heading1"/>
      </w:pPr>
      <w:bookmarkStart w:id="4" w:name="O_951318"/>
      <w:bookmarkEnd w:id="4"/>
      <w:r w:rsidRPr="00667BD2">
        <w:t>Competency Field</w:t>
      </w:r>
    </w:p>
    <w:p w:rsidR="00000000" w:rsidRPr="00667BD2" w:rsidP="00AE7786">
      <w:pPr>
        <w:pStyle w:val="BodyText"/>
      </w:pPr>
      <w:r w:rsidRPr="00667BD2">
        <w:t>Horology</w:t>
      </w:r>
    </w:p>
    <w:p w:rsidR="00000000" w:rsidRPr="00667BD2" w:rsidP="00667BD2">
      <w:pPr>
        <w:pStyle w:val="Heading1"/>
      </w:pPr>
      <w:bookmarkStart w:id="5" w:name="O_951316"/>
      <w:bookmarkEnd w:id="5"/>
      <w:r w:rsidRPr="00667BD2">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667BD2">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t>Performance criteria describe the performance needed to demonstrate achievemen</w:t>
            </w:r>
            <w:r w:rsidRPr="00667BD2">
              <w:t>t of the element.</w:t>
            </w:r>
          </w:p>
        </w:tc>
      </w:tr>
      <w:tr w:rsidTr="00667BD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67BD2" w:rsidP="00667BD2">
            <w:pPr>
              <w:pStyle w:val="BodyText"/>
            </w:pPr>
            <w:r w:rsidRPr="00667BD2">
              <w:t>1</w:t>
            </w:r>
          </w:p>
        </w:tc>
        <w:tc>
          <w:tcPr>
            <w:tcW w:w="1986" w:type="dxa"/>
            <w:vMerge w:val="restart"/>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rPr>
                <w:rStyle w:val="SpecialBold"/>
              </w:rPr>
              <w:t>Determine servicing requirements</w:t>
            </w:r>
          </w:p>
        </w:tc>
        <w:tc>
          <w:tcPr>
            <w:tcW w:w="779"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t>1.1</w:t>
            </w:r>
          </w:p>
        </w:tc>
        <w:tc>
          <w:tcPr>
            <w:tcW w:w="5678"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t>Follow standard operating procedures (SOPs)</w:t>
            </w:r>
          </w:p>
        </w:tc>
      </w:tr>
      <w:tr w:rsidTr="00667BD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t>1.2</w:t>
            </w:r>
          </w:p>
        </w:tc>
        <w:tc>
          <w:tcPr>
            <w:tcW w:w="5678"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t>Comply with work health and safety (WHS) requirements at all times</w:t>
            </w:r>
          </w:p>
        </w:tc>
      </w:tr>
      <w:tr w:rsidTr="00667BD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t>1.3</w:t>
            </w:r>
          </w:p>
        </w:tc>
        <w:tc>
          <w:tcPr>
            <w:tcW w:w="5678"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t>Identify watch type, calendar construction and dial indicator components</w:t>
            </w:r>
          </w:p>
        </w:tc>
      </w:tr>
      <w:tr w:rsidTr="00667BD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t>1.4</w:t>
            </w:r>
          </w:p>
        </w:tc>
        <w:tc>
          <w:tcPr>
            <w:tcW w:w="5678"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t>Inspect condition and functions of calendar operation and dial indicator mechanisms, including creeping, semi-instantaneous, instantaneous, retrograde and rapid corrector</w:t>
            </w:r>
          </w:p>
        </w:tc>
      </w:tr>
      <w:tr w:rsidTr="00667BD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t>1.5</w:t>
            </w:r>
          </w:p>
        </w:tc>
        <w:tc>
          <w:tcPr>
            <w:tcW w:w="5678"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t>Prepare watch for handover</w:t>
            </w:r>
          </w:p>
        </w:tc>
      </w:tr>
      <w:tr w:rsidTr="00667BD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t>1.6</w:t>
            </w:r>
          </w:p>
        </w:tc>
        <w:tc>
          <w:tcPr>
            <w:tcW w:w="5678"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t>Record and document repair requireme</w:t>
            </w:r>
            <w:r w:rsidRPr="00667BD2">
              <w:t>nts</w:t>
            </w:r>
          </w:p>
        </w:tc>
      </w:tr>
      <w:tr w:rsidTr="00667BD2">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667BD2">
            <w:pPr>
              <w:pStyle w:val="BodyText"/>
              <w:rPr>
                <w:lang w:val="en-NZ"/>
              </w:rPr>
            </w:pPr>
          </w:p>
        </w:tc>
      </w:tr>
      <w:tr w:rsidTr="00667BD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67BD2" w:rsidP="00667BD2">
            <w:pPr>
              <w:pStyle w:val="BodyText"/>
            </w:pPr>
            <w:r w:rsidRPr="00667BD2">
              <w:t>2</w:t>
            </w:r>
          </w:p>
        </w:tc>
        <w:tc>
          <w:tcPr>
            <w:tcW w:w="1986" w:type="dxa"/>
            <w:vMerge w:val="restart"/>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rPr>
                <w:rStyle w:val="SpecialBold"/>
              </w:rPr>
              <w:t>Dismantle and reassemble calendar and dial indication mechanisms</w:t>
            </w:r>
          </w:p>
        </w:tc>
        <w:tc>
          <w:tcPr>
            <w:tcW w:w="779"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t>2.1</w:t>
            </w:r>
          </w:p>
        </w:tc>
        <w:tc>
          <w:tcPr>
            <w:tcW w:w="5678"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t>Select and use appropriate personal protective equipment (PPE) in accordance with SOPs</w:t>
            </w:r>
          </w:p>
        </w:tc>
      </w:tr>
      <w:tr w:rsidTr="00667BD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t>2.2</w:t>
            </w:r>
          </w:p>
        </w:tc>
        <w:tc>
          <w:tcPr>
            <w:tcW w:w="5678"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t>Select and use appropriate workshop tools and equipment</w:t>
            </w:r>
          </w:p>
        </w:tc>
      </w:tr>
      <w:tr w:rsidTr="00667BD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t>2.3</w:t>
            </w:r>
          </w:p>
        </w:tc>
        <w:tc>
          <w:tcPr>
            <w:tcW w:w="5678"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t>Open and close watch cases</w:t>
            </w:r>
          </w:p>
        </w:tc>
      </w:tr>
      <w:tr w:rsidTr="00667BD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t>2.4</w:t>
            </w:r>
          </w:p>
        </w:tc>
        <w:tc>
          <w:tcPr>
            <w:tcW w:w="5678"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t>Dismantle and reassemble calendar and dial indication mechanisms according to design and construction constraints</w:t>
            </w:r>
          </w:p>
        </w:tc>
      </w:tr>
      <w:tr w:rsidTr="00667BD2">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667BD2">
            <w:pPr>
              <w:pStyle w:val="BodyText"/>
              <w:rPr>
                <w:lang w:val="en-NZ"/>
              </w:rPr>
            </w:pPr>
          </w:p>
        </w:tc>
      </w:tr>
      <w:tr w:rsidTr="00667BD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67BD2" w:rsidP="00667BD2">
            <w:pPr>
              <w:pStyle w:val="BodyText"/>
            </w:pPr>
            <w:r w:rsidRPr="00667BD2">
              <w:t>3</w:t>
            </w:r>
          </w:p>
        </w:tc>
        <w:tc>
          <w:tcPr>
            <w:tcW w:w="1986" w:type="dxa"/>
            <w:vMerge w:val="restart"/>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rPr>
                <w:rStyle w:val="SpecialBold"/>
              </w:rPr>
              <w:t>Service and verify calendar and dial indication mechanisms</w:t>
            </w:r>
          </w:p>
        </w:tc>
        <w:tc>
          <w:tcPr>
            <w:tcW w:w="779"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t>3.1</w:t>
            </w:r>
          </w:p>
        </w:tc>
        <w:tc>
          <w:tcPr>
            <w:tcW w:w="5678"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t>Identify calendar and dial indications drive mechanism</w:t>
            </w:r>
          </w:p>
        </w:tc>
      </w:tr>
      <w:tr w:rsidTr="00667BD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t>3.2</w:t>
            </w:r>
          </w:p>
        </w:tc>
        <w:tc>
          <w:tcPr>
            <w:tcW w:w="5678"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t>Identify faults and repair or replace worn or damaged component parts</w:t>
            </w:r>
          </w:p>
        </w:tc>
      </w:tr>
      <w:tr w:rsidTr="00667BD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t>3.3</w:t>
            </w:r>
          </w:p>
        </w:tc>
        <w:tc>
          <w:tcPr>
            <w:tcW w:w="5678"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t>Clean components using appropriate methods</w:t>
            </w:r>
          </w:p>
        </w:tc>
      </w:tr>
      <w:tr w:rsidTr="00667BD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t>3.4</w:t>
            </w:r>
          </w:p>
        </w:tc>
        <w:tc>
          <w:tcPr>
            <w:tcW w:w="5678"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t>Inspect correct fitting and function of all components</w:t>
            </w:r>
          </w:p>
        </w:tc>
      </w:tr>
      <w:tr w:rsidTr="00667BD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t>3.5</w:t>
            </w:r>
          </w:p>
        </w:tc>
        <w:tc>
          <w:tcPr>
            <w:tcW w:w="5678"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t>Verify sequencing and alignment of components during reassembly, including dial and hand fitting</w:t>
            </w:r>
          </w:p>
        </w:tc>
      </w:tr>
      <w:tr w:rsidTr="00667BD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t>3.6</w:t>
            </w:r>
          </w:p>
        </w:tc>
        <w:tc>
          <w:tcPr>
            <w:tcW w:w="5678"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t xml:space="preserve">Lubricate components according to manufacturer </w:t>
            </w:r>
            <w:r w:rsidRPr="00667BD2">
              <w:t>specifications</w:t>
            </w:r>
          </w:p>
        </w:tc>
      </w:tr>
      <w:tr w:rsidTr="00667BD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t>3.7</w:t>
            </w:r>
          </w:p>
        </w:tc>
        <w:tc>
          <w:tcPr>
            <w:tcW w:w="5678" w:type="dxa"/>
            <w:tcBorders>
              <w:top w:val="nil"/>
              <w:left w:val="nil"/>
              <w:bottom w:val="nil"/>
              <w:right w:val="nil"/>
            </w:tcBorders>
            <w:tcMar>
              <w:top w:w="0" w:type="dxa"/>
              <w:left w:w="62" w:type="dxa"/>
              <w:bottom w:w="0" w:type="dxa"/>
              <w:right w:w="62" w:type="dxa"/>
            </w:tcMar>
          </w:tcPr>
          <w:p w:rsidR="00000000" w:rsidRPr="00667BD2" w:rsidP="00667BD2">
            <w:pPr>
              <w:pStyle w:val="BodyText"/>
            </w:pPr>
            <w:r w:rsidRPr="00667BD2">
              <w:t xml:space="preserve">Test calendar and dial indications will not impact on watch performance, amplitude </w:t>
            </w:r>
            <w:r w:rsidRPr="00667BD2">
              <w:t>or timekeeping</w:t>
            </w:r>
          </w:p>
        </w:tc>
      </w:tr>
    </w:tbl>
    <w:p w:rsidR="00000000" w:rsidRPr="00667BD2" w:rsidP="00667BD2">
      <w:pPr>
        <w:pStyle w:val="BodyText"/>
      </w:pPr>
    </w:p>
    <w:p w:rsidR="00000000" w:rsidRPr="00667BD2" w:rsidP="00667BD2">
      <w:pPr>
        <w:pStyle w:val="AllowPageBreak"/>
      </w:pPr>
    </w:p>
    <w:p w:rsidR="00000000" w:rsidRPr="00667BD2" w:rsidP="00667BD2">
      <w:pPr>
        <w:pStyle w:val="Heading1"/>
      </w:pPr>
      <w:bookmarkStart w:id="6" w:name="O_951315"/>
      <w:bookmarkEnd w:id="6"/>
      <w:r w:rsidRPr="00667BD2">
        <w:t>Foundation Skills</w:t>
      </w:r>
    </w:p>
    <w:p w:rsidR="00000000" w:rsidRPr="00667BD2" w:rsidP="00AE7786">
      <w:pPr>
        <w:pStyle w:val="BodyText"/>
      </w:pPr>
      <w:r w:rsidRPr="00667BD2">
        <w:t xml:space="preserve">This section describes those required skills (reading, writing, oral communication and numeracy) that are essential to workplace performance in this unit of competency.  </w:t>
      </w:r>
    </w:p>
    <w:p w:rsidR="00000000" w:rsidRPr="00667BD2" w:rsidP="00AE7786">
      <w:pPr>
        <w:pStyle w:val="BodyText"/>
      </w:pPr>
      <w:r w:rsidRPr="00667BD2">
        <w:t>Foundation skills essential to performance are explicit in the performance criteria of this unit of competency.</w:t>
      </w:r>
    </w:p>
    <w:p w:rsidR="00000000" w:rsidRPr="00667BD2" w:rsidP="00667BD2">
      <w:pPr>
        <w:pStyle w:val="Heading1"/>
      </w:pPr>
      <w:bookmarkStart w:id="7" w:name="O_951314"/>
      <w:bookmarkEnd w:id="7"/>
      <w:r w:rsidRPr="00667BD2">
        <w:t>Range of Conditions</w:t>
      </w:r>
    </w:p>
    <w:tbl>
      <w:tblPr>
        <w:tblW w:w="0" w:type="auto"/>
        <w:tblLayout w:type="fixed"/>
        <w:tblCellMar>
          <w:left w:w="62" w:type="dxa"/>
          <w:right w:w="62" w:type="dxa"/>
        </w:tblCellMar>
        <w:tblLook w:val="0000"/>
      </w:tblPr>
      <w:tblGrid>
        <w:gridCol w:w="2760"/>
        <w:gridCol w:w="6382"/>
      </w:tblGrid>
      <w:tr w:rsidTr="00667BD2">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t>This field allows for different work environments and conditions that may affect performance. Essential ope</w:t>
            </w:r>
            <w:r w:rsidRPr="00667BD2">
              <w:t>rating conditions that may be present (depending on the work situation, needs of the candidate, accessibility of the item, and local industry and regional contexts) are included.</w:t>
            </w:r>
          </w:p>
        </w:tc>
      </w:tr>
      <w:tr w:rsidTr="00667BD2">
        <w:tblPrEx>
          <w:tblW w:w="0" w:type="auto"/>
          <w:tblLayout w:type="fixed"/>
          <w:tblCellMar>
            <w:left w:w="62" w:type="dxa"/>
            <w:right w:w="62" w:type="dxa"/>
          </w:tblCellMar>
          <w:tblLook w:val="0000"/>
        </w:tblPrEx>
        <w:trPr>
          <w:trHeight w:val="2794"/>
        </w:trPr>
        <w:tc>
          <w:tcPr>
            <w:tcW w:w="2760"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rPr>
                <w:rStyle w:val="SpecialBold"/>
              </w:rPr>
              <w:t>Watch type, calendar construction and dial indication components include on</w:t>
            </w:r>
            <w:r w:rsidRPr="00667BD2">
              <w:rPr>
                <w:rStyle w:val="SpecialBold"/>
              </w:rPr>
              <w:t>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667BD2" w:rsidP="00667BD2">
            <w:pPr>
              <w:pStyle w:val="ListBullet"/>
            </w:pPr>
            <w:r w:rsidRPr="00667BD2">
              <w:t>date indications:</w:t>
            </w:r>
          </w:p>
          <w:p w:rsidR="00000000" w:rsidRPr="00667BD2" w:rsidP="00667BD2">
            <w:pPr>
              <w:pStyle w:val="ListBullet2"/>
            </w:pPr>
            <w:r w:rsidRPr="00667BD2">
              <w:t>day/date</w:t>
            </w:r>
          </w:p>
          <w:p w:rsidR="00000000" w:rsidRPr="00667BD2" w:rsidP="00667BD2">
            <w:pPr>
              <w:pStyle w:val="ListBullet2"/>
            </w:pPr>
            <w:r w:rsidRPr="00667BD2">
              <w:t>day/date/month</w:t>
            </w:r>
          </w:p>
          <w:p w:rsidR="00000000" w:rsidRPr="00667BD2" w:rsidP="00667BD2">
            <w:pPr>
              <w:pStyle w:val="ListBullet"/>
            </w:pPr>
            <w:r w:rsidRPr="00667BD2">
              <w:t>moon phase and year indicators</w:t>
            </w:r>
          </w:p>
          <w:p w:rsidR="00000000" w:rsidRPr="00667BD2" w:rsidP="00667BD2">
            <w:pPr>
              <w:pStyle w:val="ListBullet"/>
            </w:pPr>
            <w:r w:rsidRPr="00667BD2">
              <w:t>annual calendar</w:t>
            </w:r>
          </w:p>
          <w:p w:rsidR="00000000" w:rsidRPr="00667BD2" w:rsidP="00667BD2">
            <w:pPr>
              <w:pStyle w:val="ListBullet"/>
            </w:pPr>
            <w:r w:rsidRPr="00667BD2">
              <w:t>perpetual calendar</w:t>
            </w:r>
          </w:p>
          <w:p w:rsidR="00000000" w:rsidRPr="00667BD2" w:rsidP="00667BD2">
            <w:pPr>
              <w:pStyle w:val="ListBullet"/>
            </w:pPr>
            <w:r w:rsidRPr="00667BD2">
              <w:t>power reserve indicator</w:t>
            </w:r>
          </w:p>
          <w:p w:rsidR="00000000" w:rsidP="00667BD2">
            <w:pPr>
              <w:pStyle w:val="ListBullet"/>
              <w:rPr>
                <w:lang w:val="en-NZ"/>
              </w:rPr>
            </w:pPr>
            <w:r w:rsidRPr="00667BD2">
              <w:t>equation of time</w:t>
            </w:r>
          </w:p>
        </w:tc>
      </w:tr>
      <w:tr w:rsidTr="00667BD2">
        <w:tblPrEx>
          <w:tblW w:w="0" w:type="auto"/>
          <w:tblLayout w:type="fixed"/>
          <w:tblCellMar>
            <w:left w:w="62" w:type="dxa"/>
            <w:right w:w="62" w:type="dxa"/>
          </w:tblCellMar>
          <w:tblLook w:val="0000"/>
        </w:tblPrEx>
        <w:trPr>
          <w:trHeight w:val="1253"/>
        </w:trPr>
        <w:tc>
          <w:tcPr>
            <w:tcW w:w="2760"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rPr>
                <w:rStyle w:val="SpecialBold"/>
              </w:rPr>
              <w:t>Record and document repair includes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667BD2" w:rsidP="00667BD2">
            <w:pPr>
              <w:pStyle w:val="ListBullet"/>
            </w:pPr>
            <w:r w:rsidRPr="00667BD2">
              <w:t>date and extent of repair</w:t>
            </w:r>
          </w:p>
          <w:p w:rsidR="00000000" w:rsidRPr="00667BD2" w:rsidP="00667BD2">
            <w:pPr>
              <w:pStyle w:val="ListBullet"/>
            </w:pPr>
            <w:r w:rsidRPr="00667BD2">
              <w:t>cost of replacement part</w:t>
            </w:r>
          </w:p>
          <w:p w:rsidR="00000000" w:rsidP="00667BD2">
            <w:pPr>
              <w:pStyle w:val="ListBullet"/>
              <w:rPr>
                <w:lang w:val="en-NZ"/>
              </w:rPr>
            </w:pPr>
            <w:r w:rsidRPr="00667BD2">
              <w:t xml:space="preserve">time spent on procedure </w:t>
            </w:r>
          </w:p>
        </w:tc>
      </w:tr>
      <w:tr w:rsidTr="00667BD2">
        <w:tblPrEx>
          <w:tblW w:w="0" w:type="auto"/>
          <w:tblLayout w:type="fixed"/>
          <w:tblCellMar>
            <w:left w:w="62" w:type="dxa"/>
            <w:right w:w="62" w:type="dxa"/>
          </w:tblCellMar>
          <w:tblLook w:val="0000"/>
        </w:tblPrEx>
        <w:trPr>
          <w:trHeight w:val="2526"/>
        </w:trPr>
        <w:tc>
          <w:tcPr>
            <w:tcW w:w="2760"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rPr>
                <w:rStyle w:val="SpecialBold"/>
              </w:rPr>
              <w:t>Workshop tools and equipment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667BD2" w:rsidP="00667BD2">
            <w:pPr>
              <w:pStyle w:val="ListBullet"/>
            </w:pPr>
            <w:r w:rsidRPr="00667BD2">
              <w:t>hand tools:</w:t>
            </w:r>
          </w:p>
          <w:p w:rsidR="00000000" w:rsidRPr="00667BD2" w:rsidP="00667BD2">
            <w:pPr>
              <w:pStyle w:val="ListBullet2"/>
            </w:pPr>
            <w:r w:rsidRPr="00667BD2">
              <w:t>tweezers</w:t>
            </w:r>
          </w:p>
          <w:p w:rsidR="00000000" w:rsidRPr="00667BD2" w:rsidP="00667BD2">
            <w:pPr>
              <w:pStyle w:val="ListBullet2"/>
            </w:pPr>
            <w:r w:rsidRPr="00667BD2">
              <w:t xml:space="preserve">screwdrivers </w:t>
            </w:r>
          </w:p>
          <w:p w:rsidR="00000000" w:rsidRPr="00667BD2" w:rsidP="00667BD2">
            <w:pPr>
              <w:pStyle w:val="ListBullet2"/>
            </w:pPr>
            <w:r w:rsidRPr="00667BD2">
              <w:t>eyeglasses</w:t>
            </w:r>
          </w:p>
          <w:p w:rsidR="00000000" w:rsidRPr="00667BD2" w:rsidP="00667BD2">
            <w:pPr>
              <w:pStyle w:val="ListBullet"/>
            </w:pPr>
            <w:r w:rsidRPr="00667BD2">
              <w:t>hand fitting pushers</w:t>
            </w:r>
          </w:p>
          <w:p w:rsidR="00000000" w:rsidRPr="00667BD2" w:rsidP="00667BD2">
            <w:pPr>
              <w:pStyle w:val="ListBullet"/>
            </w:pPr>
            <w:r w:rsidRPr="00667BD2">
              <w:t xml:space="preserve">stakes </w:t>
            </w:r>
          </w:p>
          <w:p w:rsidR="00000000" w:rsidP="00667BD2">
            <w:pPr>
              <w:pStyle w:val="ListBullet"/>
              <w:rPr>
                <w:lang w:val="en-NZ"/>
              </w:rPr>
            </w:pPr>
            <w:r w:rsidRPr="00667BD2">
              <w:t>presses</w:t>
            </w:r>
          </w:p>
        </w:tc>
      </w:tr>
      <w:tr w:rsidTr="00667BD2">
        <w:tblPrEx>
          <w:tblW w:w="0" w:type="auto"/>
          <w:tblLayout w:type="fixed"/>
          <w:tblCellMar>
            <w:left w:w="62" w:type="dxa"/>
            <w:right w:w="62" w:type="dxa"/>
          </w:tblCellMar>
          <w:tblLook w:val="0000"/>
        </w:tblPrEx>
        <w:trPr>
          <w:trHeight w:val="1863"/>
        </w:trPr>
        <w:tc>
          <w:tcPr>
            <w:tcW w:w="2760"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rPr>
                <w:rStyle w:val="SpecialBold"/>
              </w:rPr>
              <w:t>Calendar and dial indications drive mechanism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667BD2" w:rsidP="00667BD2">
            <w:pPr>
              <w:pStyle w:val="ListBullet"/>
            </w:pPr>
            <w:r w:rsidRPr="00667BD2">
              <w:t xml:space="preserve">creeping </w:t>
            </w:r>
          </w:p>
          <w:p w:rsidR="00000000" w:rsidRPr="00667BD2" w:rsidP="00667BD2">
            <w:pPr>
              <w:pStyle w:val="ListBullet"/>
            </w:pPr>
            <w:r w:rsidRPr="00667BD2">
              <w:t>semi-instantaneous</w:t>
            </w:r>
          </w:p>
          <w:p w:rsidR="00000000" w:rsidRPr="00667BD2" w:rsidP="00667BD2">
            <w:pPr>
              <w:pStyle w:val="ListBullet"/>
            </w:pPr>
            <w:r w:rsidRPr="00667BD2">
              <w:t>instantaneous</w:t>
            </w:r>
          </w:p>
          <w:p w:rsidR="00000000" w:rsidRPr="00667BD2" w:rsidP="00667BD2">
            <w:pPr>
              <w:pStyle w:val="ListBullet"/>
            </w:pPr>
            <w:r w:rsidRPr="00667BD2">
              <w:t>retrograde</w:t>
            </w:r>
          </w:p>
          <w:p w:rsidR="00000000" w:rsidP="00667BD2">
            <w:pPr>
              <w:pStyle w:val="ListBullet"/>
              <w:rPr>
                <w:lang w:val="en-NZ"/>
              </w:rPr>
            </w:pPr>
            <w:r w:rsidRPr="00667BD2">
              <w:t>rapid corrector</w:t>
            </w:r>
          </w:p>
        </w:tc>
      </w:tr>
      <w:tr w:rsidTr="00667BD2">
        <w:tblPrEx>
          <w:tblW w:w="0" w:type="auto"/>
          <w:tblLayout w:type="fixed"/>
          <w:tblCellMar>
            <w:left w:w="62" w:type="dxa"/>
            <w:right w:w="62" w:type="dxa"/>
          </w:tblCellMar>
          <w:tblLook w:val="0000"/>
        </w:tblPrEx>
        <w:trPr>
          <w:trHeight w:val="1863"/>
        </w:trPr>
        <w:tc>
          <w:tcPr>
            <w:tcW w:w="2760" w:type="dxa"/>
            <w:tcBorders>
              <w:top w:val="nil"/>
              <w:left w:val="nil"/>
              <w:bottom w:val="nil"/>
              <w:right w:val="nil"/>
            </w:tcBorders>
            <w:tcMar>
              <w:top w:w="0" w:type="dxa"/>
              <w:left w:w="62" w:type="dxa"/>
              <w:bottom w:w="0" w:type="dxa"/>
              <w:right w:w="62" w:type="dxa"/>
            </w:tcMar>
          </w:tcPr>
          <w:p w:rsidR="00000000" w:rsidP="00667BD2">
            <w:pPr>
              <w:pStyle w:val="BodyText"/>
              <w:rPr>
                <w:lang w:val="en-NZ"/>
              </w:rPr>
            </w:pPr>
            <w:r w:rsidRPr="00667BD2">
              <w:rPr>
                <w:rStyle w:val="SpecialBold"/>
              </w:rPr>
              <w:t>Correct fitting and functions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667BD2" w:rsidP="00667BD2">
            <w:pPr>
              <w:pStyle w:val="ListBullet"/>
            </w:pPr>
            <w:r w:rsidRPr="00667BD2">
              <w:t>end shake of components</w:t>
            </w:r>
          </w:p>
          <w:p w:rsidR="00000000" w:rsidRPr="00667BD2" w:rsidP="00667BD2">
            <w:pPr>
              <w:pStyle w:val="ListBullet"/>
            </w:pPr>
            <w:r w:rsidRPr="00667BD2">
              <w:t>clearances of moving parts</w:t>
            </w:r>
          </w:p>
          <w:p w:rsidR="00000000" w:rsidRPr="00667BD2" w:rsidP="00667BD2">
            <w:pPr>
              <w:pStyle w:val="ListBullet"/>
            </w:pPr>
            <w:r w:rsidRPr="00667BD2">
              <w:t>penetrations of calendar drive wheel mechanism and finger</w:t>
            </w:r>
          </w:p>
          <w:p w:rsidR="00000000" w:rsidRPr="00667BD2" w:rsidP="00667BD2">
            <w:pPr>
              <w:pStyle w:val="ListBullet"/>
            </w:pPr>
            <w:r w:rsidRPr="00667BD2">
              <w:t xml:space="preserve">spaces </w:t>
            </w:r>
          </w:p>
          <w:p w:rsidR="00000000" w:rsidRPr="00667BD2" w:rsidP="00667BD2">
            <w:pPr>
              <w:pStyle w:val="ListBullet"/>
            </w:pPr>
            <w:r w:rsidRPr="00667BD2">
              <w:t xml:space="preserve">safety features </w:t>
            </w:r>
          </w:p>
          <w:p w:rsidR="00000000" w:rsidRPr="00667BD2" w:rsidP="00667BD2">
            <w:pPr>
              <w:pStyle w:val="ListBullet"/>
            </w:pPr>
            <w:r w:rsidRPr="00667BD2">
              <w:t xml:space="preserve">calendar change operation at midnight </w:t>
            </w:r>
          </w:p>
          <w:p w:rsidR="00000000" w:rsidRPr="00667BD2" w:rsidP="00667BD2">
            <w:pPr>
              <w:pStyle w:val="ListBullet"/>
            </w:pPr>
            <w:r w:rsidRPr="00667BD2">
              <w:t xml:space="preserve">calendar action </w:t>
            </w:r>
          </w:p>
          <w:p w:rsidR="00000000" w:rsidRPr="00667BD2" w:rsidP="00667BD2">
            <w:pPr>
              <w:pStyle w:val="ListBullet"/>
            </w:pPr>
            <w:r w:rsidRPr="00667BD2">
              <w:t>rapid corrector engagement and operation</w:t>
            </w:r>
          </w:p>
          <w:p w:rsidR="00000000" w:rsidRPr="00667BD2" w:rsidP="00667BD2">
            <w:pPr>
              <w:pStyle w:val="ListBullet"/>
            </w:pPr>
            <w:r w:rsidRPr="00667BD2">
              <w:t xml:space="preserve">calendar day and date mechanisms </w:t>
            </w:r>
          </w:p>
        </w:tc>
      </w:tr>
    </w:tbl>
    <w:p w:rsidR="00000000" w:rsidRPr="00667BD2" w:rsidP="00667BD2">
      <w:pPr>
        <w:pStyle w:val="BodyText"/>
      </w:pPr>
    </w:p>
    <w:p w:rsidR="00000000" w:rsidRPr="00667BD2" w:rsidP="00667BD2">
      <w:pPr>
        <w:pStyle w:val="AllowPageBreak"/>
      </w:pPr>
    </w:p>
    <w:p w:rsidR="00000000" w:rsidRPr="00667BD2" w:rsidP="00667BD2">
      <w:pPr>
        <w:pStyle w:val="Heading1"/>
      </w:pPr>
      <w:bookmarkStart w:id="8" w:name="O_951313"/>
      <w:bookmarkEnd w:id="8"/>
      <w:r w:rsidRPr="00667BD2">
        <w:t>Unit Mapping Information</w:t>
      </w:r>
    </w:p>
    <w:p w:rsidR="00000000" w:rsidRPr="00667BD2" w:rsidP="00AE7786">
      <w:pPr>
        <w:pStyle w:val="BodyText"/>
      </w:pPr>
      <w:r w:rsidRPr="00667BD2">
        <w:t xml:space="preserve">Release 1. Supersedes and is equivalent to MEM21011A Service calendar and other dial indication mechanisms for watches </w:t>
      </w:r>
    </w:p>
    <w:p w:rsidR="00000000" w:rsidRPr="00667BD2" w:rsidP="00667BD2">
      <w:pPr>
        <w:pStyle w:val="Heading1"/>
      </w:pPr>
      <w:bookmarkStart w:id="9" w:name="O_951306"/>
      <w:bookmarkEnd w:id="9"/>
      <w:r w:rsidRPr="00667BD2">
        <w:t>Links</w:t>
      </w:r>
    </w:p>
    <w:p w:rsidR="00000000" w:rsidRPr="00667BD2" w:rsidP="00AE7786">
      <w:pPr>
        <w:pStyle w:val="BodyText"/>
      </w:pPr>
      <w:r w:rsidRPr="00667BD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A0093">
        <w:rPr>
          <w:rStyle w:val="Hyperlink"/>
        </w:rPr>
        <w:t>https://vetnet.gov.au/Pages/TrainingDocs.aspx?q=b7050d37-5fd0-4740-8f7d-3b7a49c10bb2</w:t>
      </w:r>
      <w:r>
        <w:fldChar w:fldCharType="end"/>
      </w:r>
    </w:p>
    <w:p w:rsidR="00000000" w:rsidRPr="00667BD2" w:rsidP="00667BD2"/>
    <w:sectPr w:rsidSect="00667BD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B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BD2" w:rsidRPr="00AE7786" w:rsidP="00AE77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B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786" w:rsidP="00667B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7786" w:rsidP="00667BD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E7786" w:rsidP="00667B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B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7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7BD2" w:rsidRPr="00AE7786" w:rsidP="00AE77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B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786" w:rsidRPr="002D2AF8" w:rsidP="00667BD2">
    <w:pPr>
      <w:pStyle w:val="Header"/>
      <w:framePr w:wrap="around"/>
    </w:pPr>
    <w:r>
      <w:fldChar w:fldCharType="begin"/>
    </w:r>
    <w:r>
      <w:instrText xml:space="preserve"> TITLE   \* MERGEFORMAT </w:instrText>
    </w:r>
    <w:r>
      <w:fldChar w:fldCharType="separate"/>
    </w:r>
    <w:r>
      <w:t>MEM21011 Service calendar and other dial indication mechanisms for watches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AE7786" w:rsidP="00667B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CCBF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4C52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5414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B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7BD2"/>
    <w:pPr>
      <w:spacing w:before="360" w:after="60"/>
      <w:outlineLvl w:val="0"/>
    </w:pPr>
    <w:rPr>
      <w:sz w:val="32"/>
    </w:rPr>
  </w:style>
  <w:style w:type="paragraph" w:styleId="Heading2">
    <w:name w:val="heading 2"/>
    <w:basedOn w:val="HeadingBase"/>
    <w:next w:val="BodyText"/>
    <w:link w:val="Heading2Char"/>
    <w:qFormat/>
    <w:rsid w:val="00667BD2"/>
    <w:pPr>
      <w:keepLines/>
      <w:spacing w:before="240" w:after="120"/>
      <w:outlineLvl w:val="1"/>
    </w:pPr>
    <w:rPr>
      <w:sz w:val="28"/>
      <w:szCs w:val="40"/>
    </w:rPr>
  </w:style>
  <w:style w:type="paragraph" w:styleId="Heading3">
    <w:name w:val="heading 3"/>
    <w:basedOn w:val="HeadingBase"/>
    <w:next w:val="BodyText"/>
    <w:link w:val="Heading3Char"/>
    <w:qFormat/>
    <w:rsid w:val="00667BD2"/>
    <w:pPr>
      <w:spacing w:before="180" w:after="120"/>
      <w:outlineLvl w:val="2"/>
    </w:pPr>
    <w:rPr>
      <w:spacing w:val="-10"/>
      <w:kern w:val="32"/>
    </w:rPr>
  </w:style>
  <w:style w:type="paragraph" w:styleId="Heading4">
    <w:name w:val="heading 4"/>
    <w:basedOn w:val="HeadingBase"/>
    <w:next w:val="BodyText"/>
    <w:link w:val="Heading4Char"/>
    <w:qFormat/>
    <w:rsid w:val="00667BD2"/>
    <w:pPr>
      <w:spacing w:before="160" w:after="120"/>
      <w:outlineLvl w:val="3"/>
    </w:pPr>
    <w:rPr>
      <w:sz w:val="22"/>
    </w:rPr>
  </w:style>
  <w:style w:type="paragraph" w:styleId="Heading5">
    <w:name w:val="heading 5"/>
    <w:basedOn w:val="HeadingBase"/>
    <w:next w:val="Normal"/>
    <w:link w:val="Heading5Char"/>
    <w:qFormat/>
    <w:rsid w:val="00667BD2"/>
    <w:pPr>
      <w:spacing w:before="80"/>
      <w:outlineLvl w:val="4"/>
    </w:pPr>
    <w:rPr>
      <w:color w:val="918585"/>
      <w:sz w:val="20"/>
    </w:rPr>
  </w:style>
  <w:style w:type="paragraph" w:styleId="Heading6">
    <w:name w:val="heading 6"/>
    <w:basedOn w:val="HeadingBase"/>
    <w:next w:val="Normal"/>
    <w:link w:val="Heading6Char"/>
    <w:qFormat/>
    <w:rsid w:val="00667BD2"/>
    <w:pPr>
      <w:spacing w:before="60"/>
      <w:outlineLvl w:val="5"/>
    </w:pPr>
    <w:rPr>
      <w:color w:val="918585"/>
      <w:sz w:val="20"/>
    </w:rPr>
  </w:style>
  <w:style w:type="paragraph" w:styleId="Heading7">
    <w:name w:val="heading 7"/>
    <w:basedOn w:val="Normal"/>
    <w:next w:val="Normal"/>
    <w:link w:val="Heading7Char"/>
    <w:qFormat/>
    <w:rsid w:val="00667BD2"/>
    <w:pPr>
      <w:ind w:left="720"/>
      <w:outlineLvl w:val="6"/>
    </w:pPr>
    <w:rPr>
      <w:i/>
    </w:rPr>
  </w:style>
  <w:style w:type="paragraph" w:styleId="Heading8">
    <w:name w:val="heading 8"/>
    <w:basedOn w:val="Normal"/>
    <w:next w:val="Normal"/>
    <w:link w:val="Heading8Char"/>
    <w:qFormat/>
    <w:rsid w:val="00667BD2"/>
    <w:pPr>
      <w:ind w:left="720"/>
      <w:outlineLvl w:val="7"/>
    </w:pPr>
    <w:rPr>
      <w:i/>
    </w:rPr>
  </w:style>
  <w:style w:type="paragraph" w:styleId="Heading9">
    <w:name w:val="heading 9"/>
    <w:basedOn w:val="Normal"/>
    <w:next w:val="Normal"/>
    <w:link w:val="Heading9Char"/>
    <w:qFormat/>
    <w:rsid w:val="00667BD2"/>
    <w:pPr>
      <w:ind w:left="720"/>
      <w:outlineLvl w:val="8"/>
    </w:pPr>
    <w:rPr>
      <w:i/>
    </w:rPr>
  </w:style>
  <w:style w:type="character" w:default="1" w:styleId="DefaultParagraphFont">
    <w:name w:val="Default Paragraph Font"/>
    <w:uiPriority w:val="1"/>
    <w:unhideWhenUsed/>
    <w:rsid w:val="00667B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7BD2"/>
  </w:style>
  <w:style w:type="character" w:customStyle="1" w:styleId="Heading1Char">
    <w:name w:val="Heading 1 Char"/>
    <w:basedOn w:val="DefaultParagraphFont"/>
    <w:link w:val="Heading1"/>
    <w:rsid w:val="00667BD2"/>
    <w:rPr>
      <w:rFonts w:ascii="Times New Roman" w:eastAsia="Times New Roman" w:hAnsi="Times New Roman" w:cs="Times New Roman"/>
      <w:b/>
      <w:sz w:val="32"/>
      <w:szCs w:val="20"/>
      <w:lang w:eastAsia="en-US"/>
    </w:rPr>
  </w:style>
  <w:style w:type="paragraph" w:styleId="BodyText">
    <w:name w:val="Body Text"/>
    <w:basedOn w:val="Normal"/>
    <w:link w:val="BodyTextChar"/>
    <w:rsid w:val="00667B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7BD2"/>
    <w:rPr>
      <w:rFonts w:ascii="Times New Roman" w:eastAsia="Times New Roman" w:hAnsi="Times New Roman" w:cs="Times New Roman"/>
      <w:sz w:val="24"/>
      <w:lang w:eastAsia="en-US"/>
    </w:rPr>
  </w:style>
  <w:style w:type="paragraph" w:styleId="ListBullet">
    <w:name w:val="List Bullet"/>
    <w:basedOn w:val="List"/>
    <w:rsid w:val="00667BD2"/>
    <w:pPr>
      <w:numPr>
        <w:numId w:val="12"/>
      </w:numPr>
      <w:tabs>
        <w:tab w:val="clear" w:pos="340"/>
      </w:tabs>
      <w:spacing w:before="40" w:after="40"/>
    </w:pPr>
  </w:style>
  <w:style w:type="character" w:customStyle="1" w:styleId="SpecialBold">
    <w:name w:val="Special Bold"/>
    <w:basedOn w:val="DefaultParagraphFont"/>
    <w:rsid w:val="00667BD2"/>
    <w:rPr>
      <w:b/>
      <w:spacing w:val="0"/>
    </w:rPr>
  </w:style>
  <w:style w:type="paragraph" w:styleId="ListBullet2">
    <w:name w:val="List Bullet 2"/>
    <w:basedOn w:val="List2"/>
    <w:rsid w:val="00667BD2"/>
    <w:pPr>
      <w:numPr>
        <w:numId w:val="13"/>
      </w:numPr>
      <w:tabs>
        <w:tab w:val="clear" w:pos="680"/>
      </w:tabs>
    </w:pPr>
  </w:style>
  <w:style w:type="paragraph" w:customStyle="1" w:styleId="SuperHeading">
    <w:name w:val="SuperHeading"/>
    <w:basedOn w:val="Normal"/>
    <w:rsid w:val="00667BD2"/>
    <w:pPr>
      <w:spacing w:before="240" w:after="120"/>
      <w:outlineLvl w:val="0"/>
    </w:pPr>
    <w:rPr>
      <w:rFonts w:ascii="Times New Roman" w:hAnsi="Times New Roman"/>
      <w:b/>
      <w:sz w:val="32"/>
    </w:rPr>
  </w:style>
  <w:style w:type="paragraph" w:customStyle="1" w:styleId="AllowPageBreak">
    <w:name w:val="AllowPageBreak"/>
    <w:rsid w:val="00667B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7B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7B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7B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7B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7B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7B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7B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7BD2"/>
    <w:rPr>
      <w:rFonts w:ascii="Courier New" w:eastAsia="Times New Roman" w:hAnsi="Courier New" w:cs="Times New Roman"/>
      <w:i/>
      <w:szCs w:val="20"/>
      <w:lang w:eastAsia="en-US"/>
    </w:rPr>
  </w:style>
  <w:style w:type="paragraph" w:customStyle="1" w:styleId="HeadingBase">
    <w:name w:val="Heading Base"/>
    <w:rsid w:val="00667B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7BD2"/>
    <w:pPr>
      <w:tabs>
        <w:tab w:val="right" w:leader="dot" w:pos="9072"/>
      </w:tabs>
      <w:ind w:left="567"/>
    </w:pPr>
    <w:rPr>
      <w:szCs w:val="22"/>
    </w:rPr>
  </w:style>
  <w:style w:type="paragraph" w:customStyle="1" w:styleId="TOCBase">
    <w:name w:val="TOC Base"/>
    <w:rsid w:val="00667B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7BD2"/>
    <w:pPr>
      <w:tabs>
        <w:tab w:val="right" w:leader="dot" w:pos="9072"/>
      </w:tabs>
      <w:spacing w:before="40" w:after="40"/>
      <w:ind w:left="284"/>
    </w:pPr>
    <w:rPr>
      <w:rFonts w:ascii="Times New Roman" w:hAnsi="Times New Roman"/>
    </w:rPr>
  </w:style>
  <w:style w:type="paragraph" w:styleId="TOC1">
    <w:name w:val="toc 1"/>
    <w:basedOn w:val="TOCBase"/>
    <w:next w:val="Normal"/>
    <w:rsid w:val="00667B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7B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7BD2"/>
    <w:rPr>
      <w:rFonts w:ascii="Times New Roman" w:eastAsia="Times New Roman" w:hAnsi="Times New Roman" w:cs="Times New Roman"/>
      <w:sz w:val="16"/>
      <w:lang w:eastAsia="en-US"/>
    </w:rPr>
  </w:style>
  <w:style w:type="paragraph" w:styleId="Title">
    <w:name w:val="Title"/>
    <w:basedOn w:val="HeadingBase"/>
    <w:link w:val="TitleChar"/>
    <w:qFormat/>
    <w:rsid w:val="00667BD2"/>
    <w:pPr>
      <w:spacing w:before="5040"/>
      <w:jc w:val="center"/>
    </w:pPr>
    <w:rPr>
      <w:sz w:val="48"/>
      <w:szCs w:val="72"/>
      <w:lang w:val="en-US"/>
    </w:rPr>
  </w:style>
  <w:style w:type="character" w:customStyle="1" w:styleId="TitleChar">
    <w:name w:val="Title Char"/>
    <w:basedOn w:val="DefaultParagraphFont"/>
    <w:link w:val="Title"/>
    <w:rsid w:val="00667B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7BD2"/>
    <w:pPr>
      <w:tabs>
        <w:tab w:val="left" w:pos="3600"/>
        <w:tab w:val="left" w:pos="3958"/>
      </w:tabs>
    </w:pPr>
  </w:style>
  <w:style w:type="paragraph" w:styleId="List">
    <w:name w:val="List"/>
    <w:basedOn w:val="BodyText"/>
    <w:next w:val="BodyText"/>
    <w:rsid w:val="00667BD2"/>
    <w:pPr>
      <w:tabs>
        <w:tab w:val="left" w:pos="340"/>
      </w:tabs>
      <w:spacing w:before="60" w:after="60"/>
      <w:ind w:left="340" w:hanging="340"/>
    </w:pPr>
  </w:style>
  <w:style w:type="paragraph" w:customStyle="1" w:styleId="Note">
    <w:name w:val="Note"/>
    <w:basedOn w:val="BodyText"/>
    <w:rsid w:val="00667B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7BD2"/>
    <w:pPr>
      <w:framePr w:wrap="auto" w:hAnchor="text" w:y="6049"/>
    </w:pPr>
    <w:rPr>
      <w:color w:val="000000"/>
      <w:sz w:val="40"/>
    </w:rPr>
  </w:style>
  <w:style w:type="paragraph" w:customStyle="1" w:styleId="TOCTitle">
    <w:name w:val="TOCTitle"/>
    <w:basedOn w:val="Heading1"/>
    <w:rsid w:val="00667BD2"/>
    <w:pPr>
      <w:spacing w:after="240"/>
      <w:jc w:val="center"/>
      <w:outlineLvl w:val="9"/>
    </w:pPr>
    <w:rPr>
      <w:caps/>
    </w:rPr>
  </w:style>
  <w:style w:type="paragraph" w:customStyle="1" w:styleId="Version">
    <w:name w:val="Version"/>
    <w:rsid w:val="00667B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7BD2"/>
    <w:pPr>
      <w:keepNext w:val="0"/>
      <w:tabs>
        <w:tab w:val="right" w:pos="4176"/>
      </w:tabs>
      <w:ind w:left="198" w:hanging="198"/>
    </w:pPr>
    <w:rPr>
      <w:rFonts w:ascii="Garamond" w:hAnsi="Garamond"/>
    </w:rPr>
  </w:style>
  <w:style w:type="paragraph" w:styleId="IndexHeading">
    <w:name w:val="index heading"/>
    <w:basedOn w:val="Normal"/>
    <w:next w:val="Index1"/>
    <w:semiHidden/>
    <w:rsid w:val="00667BD2"/>
    <w:pPr>
      <w:spacing w:before="120" w:after="120"/>
    </w:pPr>
    <w:rPr>
      <w:rFonts w:ascii="Arial" w:hAnsi="Arial"/>
      <w:b/>
      <w:color w:val="918585"/>
      <w:sz w:val="24"/>
    </w:rPr>
  </w:style>
  <w:style w:type="paragraph" w:styleId="Header">
    <w:name w:val="header"/>
    <w:basedOn w:val="Normal"/>
    <w:link w:val="HeaderChar"/>
    <w:rsid w:val="00667B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7BD2"/>
    <w:rPr>
      <w:rFonts w:ascii="Times New Roman" w:eastAsia="Times New Roman" w:hAnsi="Times New Roman" w:cs="Times New Roman"/>
      <w:sz w:val="16"/>
      <w:szCs w:val="20"/>
      <w:lang w:val="en-GB" w:eastAsia="en-US"/>
    </w:rPr>
  </w:style>
  <w:style w:type="paragraph" w:customStyle="1" w:styleId="Chapter">
    <w:name w:val="Chapter"/>
    <w:basedOn w:val="Normal"/>
    <w:rsid w:val="00667BD2"/>
    <w:pPr>
      <w:spacing w:before="240"/>
    </w:pPr>
    <w:rPr>
      <w:rFonts w:ascii="Times New Roman" w:hAnsi="Times New Roman"/>
      <w:smallCaps/>
      <w:spacing w:val="80"/>
      <w:sz w:val="28"/>
    </w:rPr>
  </w:style>
  <w:style w:type="paragraph" w:customStyle="1" w:styleId="InChapter">
    <w:name w:val="InChapter"/>
    <w:basedOn w:val="Heading3"/>
    <w:rsid w:val="00667BD2"/>
    <w:pPr>
      <w:spacing w:after="240"/>
      <w:outlineLvl w:val="9"/>
    </w:pPr>
    <w:rPr>
      <w:noProof/>
    </w:rPr>
  </w:style>
  <w:style w:type="paragraph" w:styleId="Index2">
    <w:name w:val="index 2"/>
    <w:basedOn w:val="Normal"/>
    <w:next w:val="Normal"/>
    <w:semiHidden/>
    <w:rsid w:val="00667BD2"/>
    <w:pPr>
      <w:tabs>
        <w:tab w:val="right" w:pos="4176"/>
      </w:tabs>
      <w:ind w:left="568" w:hanging="284"/>
    </w:pPr>
    <w:rPr>
      <w:rFonts w:ascii="Garamond" w:hAnsi="Garamond"/>
    </w:rPr>
  </w:style>
  <w:style w:type="paragraph" w:customStyle="1" w:styleId="Byline">
    <w:name w:val="Byline"/>
    <w:rsid w:val="00667B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7BD2"/>
    <w:pPr>
      <w:tabs>
        <w:tab w:val="clear" w:pos="3600"/>
        <w:tab w:val="clear" w:pos="3958"/>
      </w:tabs>
      <w:jc w:val="right"/>
    </w:pPr>
  </w:style>
  <w:style w:type="character" w:styleId="Emphasis">
    <w:name w:val="Emphasis"/>
    <w:basedOn w:val="DefaultParagraphFont"/>
    <w:qFormat/>
    <w:rsid w:val="00667BD2"/>
    <w:rPr>
      <w:i/>
    </w:rPr>
  </w:style>
  <w:style w:type="paragraph" w:styleId="Caption">
    <w:name w:val="caption"/>
    <w:basedOn w:val="BodyText"/>
    <w:next w:val="Normal"/>
    <w:qFormat/>
    <w:rsid w:val="00667BD2"/>
    <w:pPr>
      <w:framePr w:w="2268" w:hSpace="181" w:vSpace="181" w:wrap="around" w:vAnchor="text" w:hAnchor="page" w:x="1135" w:y="285" w:anchorLock="1"/>
    </w:pPr>
    <w:rPr>
      <w:i/>
    </w:rPr>
  </w:style>
  <w:style w:type="paragraph" w:customStyle="1" w:styleId="MiniTOCTitle">
    <w:name w:val="MiniTOCTitle"/>
    <w:basedOn w:val="Heading4"/>
    <w:rsid w:val="00667BD2"/>
    <w:pPr>
      <w:spacing w:before="240"/>
      <w:outlineLvl w:val="9"/>
    </w:pPr>
    <w:rPr>
      <w:noProof/>
      <w:sz w:val="24"/>
    </w:rPr>
  </w:style>
  <w:style w:type="paragraph" w:customStyle="1" w:styleId="MiniTOCItem">
    <w:name w:val="MiniTOCItem"/>
    <w:basedOn w:val="ListBullet"/>
    <w:rsid w:val="00667BD2"/>
    <w:pPr>
      <w:numPr>
        <w:numId w:val="0"/>
      </w:numPr>
      <w:tabs>
        <w:tab w:val="right" w:leader="dot" w:pos="6521"/>
      </w:tabs>
      <w:spacing w:before="0" w:after="0"/>
    </w:pPr>
  </w:style>
  <w:style w:type="paragraph" w:customStyle="1" w:styleId="TOFTitle">
    <w:name w:val="TOFTitle"/>
    <w:basedOn w:val="TOCTitle"/>
    <w:rsid w:val="00667BD2"/>
  </w:style>
  <w:style w:type="paragraph" w:styleId="TableofFigures">
    <w:name w:val="table of figures"/>
    <w:basedOn w:val="Normal"/>
    <w:next w:val="Normal"/>
    <w:semiHidden/>
    <w:rsid w:val="00667BD2"/>
    <w:pPr>
      <w:tabs>
        <w:tab w:val="right" w:leader="dot" w:pos="9072"/>
      </w:tabs>
      <w:ind w:left="970" w:hanging="403"/>
    </w:pPr>
    <w:rPr>
      <w:rFonts w:ascii="Times New Roman" w:hAnsi="Times New Roman"/>
      <w:b/>
    </w:rPr>
  </w:style>
  <w:style w:type="paragraph" w:styleId="ListNumber">
    <w:name w:val="List Number"/>
    <w:basedOn w:val="List"/>
    <w:rsid w:val="00667BD2"/>
    <w:pPr>
      <w:numPr>
        <w:numId w:val="15"/>
      </w:numPr>
      <w:tabs>
        <w:tab w:val="clear" w:pos="340"/>
      </w:tabs>
    </w:pPr>
  </w:style>
  <w:style w:type="character" w:customStyle="1" w:styleId="WingdingSymbols">
    <w:name w:val="Wingding Symbols"/>
    <w:rsid w:val="00667BD2"/>
    <w:rPr>
      <w:rFonts w:ascii="Wingdings" w:hAnsi="Wingdings"/>
    </w:rPr>
  </w:style>
  <w:style w:type="paragraph" w:customStyle="1" w:styleId="TableHeading">
    <w:name w:val="Table Heading"/>
    <w:basedOn w:val="HeadingBase"/>
    <w:rsid w:val="00667BD2"/>
    <w:pPr>
      <w:keepLines/>
      <w:pBdr>
        <w:bottom w:val="single" w:sz="6" w:space="1" w:color="918585"/>
      </w:pBdr>
      <w:spacing w:before="240"/>
    </w:pPr>
  </w:style>
  <w:style w:type="character" w:customStyle="1" w:styleId="HotSpot">
    <w:name w:val="HotSpot"/>
    <w:rsid w:val="00667BD2"/>
    <w:rPr>
      <w:color w:val="0033CC"/>
      <w:u w:val="none"/>
    </w:rPr>
  </w:style>
  <w:style w:type="paragraph" w:customStyle="1" w:styleId="BodyTextRight">
    <w:name w:val="Body Text Right"/>
    <w:basedOn w:val="BodyText"/>
    <w:rsid w:val="00667BD2"/>
    <w:pPr>
      <w:spacing w:before="0" w:after="0"/>
      <w:jc w:val="right"/>
    </w:pPr>
  </w:style>
  <w:style w:type="paragraph" w:styleId="Index3">
    <w:name w:val="index 3"/>
    <w:basedOn w:val="ListNumber2"/>
    <w:next w:val="Normal"/>
    <w:semiHidden/>
    <w:rsid w:val="00667BD2"/>
    <w:pPr>
      <w:numPr>
        <w:numId w:val="0"/>
      </w:numPr>
      <w:tabs>
        <w:tab w:val="right" w:leader="dot" w:pos="4176"/>
      </w:tabs>
    </w:pPr>
  </w:style>
  <w:style w:type="paragraph" w:styleId="ListNumber2">
    <w:name w:val="List Number 2"/>
    <w:basedOn w:val="List2"/>
    <w:rsid w:val="00667BD2"/>
    <w:pPr>
      <w:numPr>
        <w:numId w:val="10"/>
      </w:numPr>
      <w:tabs>
        <w:tab w:val="clear" w:pos="1060"/>
      </w:tabs>
    </w:pPr>
  </w:style>
  <w:style w:type="paragraph" w:customStyle="1" w:styleId="MarginNote">
    <w:name w:val="Margin Note"/>
    <w:basedOn w:val="BodyText"/>
    <w:rsid w:val="00667B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7B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7B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7BD2"/>
    <w:rPr>
      <w:sz w:val="32"/>
    </w:rPr>
  </w:style>
  <w:style w:type="paragraph" w:customStyle="1" w:styleId="HeadingProcedure">
    <w:name w:val="Heading Procedure"/>
    <w:basedOn w:val="HeadingBase"/>
    <w:next w:val="Normal"/>
    <w:rsid w:val="00667BD2"/>
    <w:pPr>
      <w:tabs>
        <w:tab w:val="left" w:pos="0"/>
      </w:tabs>
      <w:spacing w:before="120" w:after="60"/>
    </w:pPr>
    <w:rPr>
      <w:i/>
      <w:color w:val="918585"/>
      <w:sz w:val="22"/>
    </w:rPr>
  </w:style>
  <w:style w:type="paragraph" w:customStyle="1" w:styleId="TableBodyText">
    <w:name w:val="Table Body Text"/>
    <w:basedOn w:val="BodyText"/>
    <w:rsid w:val="00667BD2"/>
    <w:pPr>
      <w:spacing w:before="60" w:after="60"/>
    </w:pPr>
  </w:style>
  <w:style w:type="paragraph" w:styleId="ListContinue">
    <w:name w:val="List Continue"/>
    <w:basedOn w:val="List"/>
    <w:rsid w:val="00667BD2"/>
    <w:pPr>
      <w:ind w:firstLine="0"/>
    </w:pPr>
  </w:style>
  <w:style w:type="paragraph" w:customStyle="1" w:styleId="ListNote">
    <w:name w:val="List Note"/>
    <w:basedOn w:val="List"/>
    <w:rsid w:val="00667BD2"/>
    <w:pPr>
      <w:pBdr>
        <w:top w:val="single" w:sz="6" w:space="2" w:color="918585"/>
        <w:bottom w:val="single" w:sz="6" w:space="2" w:color="918585"/>
      </w:pBdr>
      <w:tabs>
        <w:tab w:val="left" w:pos="1021"/>
      </w:tabs>
      <w:ind w:firstLine="0"/>
    </w:pPr>
  </w:style>
  <w:style w:type="paragraph" w:customStyle="1" w:styleId="Warning">
    <w:name w:val="Warning"/>
    <w:basedOn w:val="BodyText"/>
    <w:rsid w:val="00667BD2"/>
    <w:pPr>
      <w:shd w:val="clear" w:color="auto" w:fill="D9D9D9"/>
      <w:tabs>
        <w:tab w:val="left" w:pos="992"/>
      </w:tabs>
      <w:ind w:left="119" w:right="119"/>
    </w:pPr>
    <w:rPr>
      <w:sz w:val="20"/>
    </w:rPr>
  </w:style>
  <w:style w:type="paragraph" w:customStyle="1" w:styleId="MarginIcons">
    <w:name w:val="Margin Icons"/>
    <w:basedOn w:val="BodyText"/>
    <w:rsid w:val="00667B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7BD2"/>
    <w:rPr>
      <w:rFonts w:ascii="Courier New" w:hAnsi="Courier New"/>
    </w:rPr>
  </w:style>
  <w:style w:type="paragraph" w:customStyle="1" w:styleId="NoteBullet">
    <w:name w:val="Note Bullet"/>
    <w:basedOn w:val="Note"/>
    <w:rsid w:val="00667BD2"/>
    <w:pPr>
      <w:tabs>
        <w:tab w:val="clear" w:pos="680"/>
      </w:tabs>
      <w:spacing w:before="60" w:after="60"/>
    </w:pPr>
  </w:style>
  <w:style w:type="paragraph" w:customStyle="1" w:styleId="SubHeading2">
    <w:name w:val="SubHeading2"/>
    <w:basedOn w:val="HeadingBase"/>
    <w:rsid w:val="00667BD2"/>
    <w:pPr>
      <w:spacing w:before="240" w:after="60"/>
    </w:pPr>
    <w:rPr>
      <w:sz w:val="20"/>
    </w:rPr>
  </w:style>
  <w:style w:type="paragraph" w:customStyle="1" w:styleId="SubHeading1">
    <w:name w:val="SubHeading1"/>
    <w:basedOn w:val="HeadingBase"/>
    <w:rsid w:val="00667BD2"/>
    <w:pPr>
      <w:spacing w:before="240" w:after="60"/>
    </w:pPr>
    <w:rPr>
      <w:color w:val="918585"/>
      <w:sz w:val="22"/>
    </w:rPr>
  </w:style>
  <w:style w:type="paragraph" w:customStyle="1" w:styleId="SideHeading">
    <w:name w:val="Side Heading"/>
    <w:basedOn w:val="HeadingBase"/>
    <w:rsid w:val="00667B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7BD2"/>
    <w:pPr>
      <w:tabs>
        <w:tab w:val="num" w:pos="360"/>
      </w:tabs>
    </w:pPr>
  </w:style>
  <w:style w:type="paragraph" w:styleId="PlainText">
    <w:name w:val="Plain Text"/>
    <w:basedOn w:val="Normal"/>
    <w:link w:val="PlainTextChar"/>
    <w:rsid w:val="00667BD2"/>
    <w:rPr>
      <w:sz w:val="20"/>
    </w:rPr>
  </w:style>
  <w:style w:type="character" w:customStyle="1" w:styleId="PlainTextChar">
    <w:name w:val="Plain Text Char"/>
    <w:basedOn w:val="DefaultParagraphFont"/>
    <w:link w:val="PlainText"/>
    <w:rsid w:val="00667BD2"/>
    <w:rPr>
      <w:rFonts w:ascii="Courier New" w:eastAsia="Times New Roman" w:hAnsi="Courier New" w:cs="Times New Roman"/>
      <w:sz w:val="20"/>
      <w:szCs w:val="20"/>
      <w:lang w:eastAsia="en-US"/>
    </w:rPr>
  </w:style>
  <w:style w:type="character" w:customStyle="1" w:styleId="MenuOption">
    <w:name w:val="Menu Option"/>
    <w:basedOn w:val="DefaultParagraphFont"/>
    <w:rsid w:val="00667BD2"/>
    <w:rPr>
      <w:b/>
      <w:smallCaps/>
    </w:rPr>
  </w:style>
  <w:style w:type="paragraph" w:customStyle="1" w:styleId="TableListNumber">
    <w:name w:val="Table List Number"/>
    <w:basedOn w:val="ListNumber"/>
    <w:rsid w:val="00667BD2"/>
    <w:pPr>
      <w:numPr>
        <w:numId w:val="0"/>
      </w:numPr>
    </w:pPr>
  </w:style>
  <w:style w:type="paragraph" w:styleId="TOC4">
    <w:name w:val="toc 4"/>
    <w:basedOn w:val="TOCBase"/>
    <w:next w:val="Normal"/>
    <w:semiHidden/>
    <w:rsid w:val="00667BD2"/>
    <w:pPr>
      <w:tabs>
        <w:tab w:val="right" w:leader="dot" w:pos="9071"/>
      </w:tabs>
      <w:ind w:left="1701"/>
    </w:pPr>
  </w:style>
  <w:style w:type="paragraph" w:customStyle="1" w:styleId="ListAlpha">
    <w:name w:val="List Alpha"/>
    <w:basedOn w:val="List"/>
    <w:rsid w:val="00667BD2"/>
    <w:pPr>
      <w:numPr>
        <w:numId w:val="9"/>
      </w:numPr>
    </w:pPr>
  </w:style>
  <w:style w:type="paragraph" w:customStyle="1" w:styleId="ListAlpha2">
    <w:name w:val="List Alpha 2"/>
    <w:basedOn w:val="List2"/>
    <w:rsid w:val="00667BD2"/>
    <w:pPr>
      <w:numPr>
        <w:numId w:val="8"/>
      </w:numPr>
    </w:pPr>
  </w:style>
  <w:style w:type="paragraph" w:styleId="List2">
    <w:name w:val="List 2"/>
    <w:basedOn w:val="BodyText"/>
    <w:rsid w:val="00667BD2"/>
    <w:pPr>
      <w:tabs>
        <w:tab w:val="left" w:pos="680"/>
      </w:tabs>
      <w:spacing w:before="60" w:after="60"/>
      <w:ind w:left="680" w:hanging="340"/>
    </w:pPr>
  </w:style>
  <w:style w:type="paragraph" w:styleId="List3">
    <w:name w:val="List 3"/>
    <w:basedOn w:val="BodyText"/>
    <w:rsid w:val="00667BD2"/>
    <w:pPr>
      <w:tabs>
        <w:tab w:val="left" w:pos="1021"/>
      </w:tabs>
      <w:spacing w:before="60" w:after="60"/>
      <w:ind w:left="1020" w:hanging="340"/>
    </w:pPr>
  </w:style>
  <w:style w:type="paragraph" w:styleId="List4">
    <w:name w:val="List 4"/>
    <w:basedOn w:val="BodyText"/>
    <w:rsid w:val="00667BD2"/>
    <w:pPr>
      <w:tabs>
        <w:tab w:val="left" w:pos="1361"/>
      </w:tabs>
      <w:spacing w:before="60" w:after="60"/>
      <w:ind w:left="1361" w:hanging="340"/>
    </w:pPr>
  </w:style>
  <w:style w:type="paragraph" w:styleId="List5">
    <w:name w:val="List 5"/>
    <w:basedOn w:val="BodyText"/>
    <w:rsid w:val="00667BD2"/>
    <w:pPr>
      <w:tabs>
        <w:tab w:val="left" w:pos="1701"/>
      </w:tabs>
      <w:spacing w:before="60" w:after="60"/>
      <w:ind w:left="1701" w:hanging="340"/>
    </w:pPr>
  </w:style>
  <w:style w:type="paragraph" w:styleId="ListBullet3">
    <w:name w:val="List Bullet 3"/>
    <w:basedOn w:val="List3"/>
    <w:rsid w:val="00667BD2"/>
    <w:pPr>
      <w:numPr>
        <w:numId w:val="14"/>
      </w:numPr>
      <w:tabs>
        <w:tab w:val="clear" w:pos="1021"/>
      </w:tabs>
      <w:ind w:left="1037" w:hanging="357"/>
    </w:pPr>
  </w:style>
  <w:style w:type="paragraph" w:styleId="ListBullet4">
    <w:name w:val="List Bullet 4"/>
    <w:basedOn w:val="List4"/>
    <w:rsid w:val="00667BD2"/>
    <w:pPr>
      <w:numPr>
        <w:numId w:val="3"/>
      </w:numPr>
      <w:tabs>
        <w:tab w:val="clear" w:pos="1361"/>
      </w:tabs>
    </w:pPr>
  </w:style>
  <w:style w:type="paragraph" w:styleId="ListBullet5">
    <w:name w:val="List Bullet 5"/>
    <w:basedOn w:val="List5"/>
    <w:rsid w:val="00667BD2"/>
    <w:pPr>
      <w:numPr>
        <w:numId w:val="4"/>
      </w:numPr>
    </w:pPr>
  </w:style>
  <w:style w:type="paragraph" w:styleId="ListContinue2">
    <w:name w:val="List Continue 2"/>
    <w:basedOn w:val="List2"/>
    <w:rsid w:val="00667BD2"/>
    <w:pPr>
      <w:ind w:firstLine="0"/>
    </w:pPr>
  </w:style>
  <w:style w:type="paragraph" w:styleId="ListContinue3">
    <w:name w:val="List Continue 3"/>
    <w:basedOn w:val="List3"/>
    <w:rsid w:val="00667BD2"/>
    <w:pPr>
      <w:ind w:left="1021" w:firstLine="0"/>
    </w:pPr>
  </w:style>
  <w:style w:type="paragraph" w:styleId="ListContinue4">
    <w:name w:val="List Continue 4"/>
    <w:basedOn w:val="List4"/>
    <w:rsid w:val="00667BD2"/>
    <w:pPr>
      <w:ind w:firstLine="0"/>
    </w:pPr>
  </w:style>
  <w:style w:type="paragraph" w:styleId="ListContinue5">
    <w:name w:val="List Continue 5"/>
    <w:basedOn w:val="List5"/>
    <w:rsid w:val="00667BD2"/>
    <w:pPr>
      <w:ind w:firstLine="0"/>
    </w:pPr>
  </w:style>
  <w:style w:type="paragraph" w:styleId="ListNumber3">
    <w:name w:val="List Number 3"/>
    <w:basedOn w:val="List3"/>
    <w:rsid w:val="00667BD2"/>
    <w:pPr>
      <w:numPr>
        <w:numId w:val="5"/>
      </w:numPr>
    </w:pPr>
  </w:style>
  <w:style w:type="paragraph" w:styleId="ListNumber4">
    <w:name w:val="List Number 4"/>
    <w:basedOn w:val="List4"/>
    <w:rsid w:val="00667BD2"/>
    <w:pPr>
      <w:numPr>
        <w:numId w:val="6"/>
      </w:numPr>
    </w:pPr>
  </w:style>
  <w:style w:type="paragraph" w:styleId="ListNumber5">
    <w:name w:val="List Number 5"/>
    <w:basedOn w:val="List5"/>
    <w:rsid w:val="00667BD2"/>
    <w:pPr>
      <w:numPr>
        <w:numId w:val="7"/>
      </w:numPr>
    </w:pPr>
  </w:style>
  <w:style w:type="paragraph" w:styleId="BlockText">
    <w:name w:val="Block Text"/>
    <w:basedOn w:val="Normal"/>
    <w:rsid w:val="00667BD2"/>
    <w:pPr>
      <w:spacing w:after="120"/>
      <w:ind w:left="1440" w:right="1440"/>
    </w:pPr>
  </w:style>
  <w:style w:type="character" w:customStyle="1" w:styleId="Subscript">
    <w:name w:val="Subscript"/>
    <w:basedOn w:val="DefaultParagraphFont"/>
    <w:rsid w:val="00667BD2"/>
    <w:rPr>
      <w:sz w:val="16"/>
      <w:vertAlign w:val="subscript"/>
    </w:rPr>
  </w:style>
  <w:style w:type="character" w:customStyle="1" w:styleId="Superscript">
    <w:name w:val="Superscript"/>
    <w:basedOn w:val="DefaultParagraphFont"/>
    <w:rsid w:val="00667BD2"/>
    <w:rPr>
      <w:sz w:val="16"/>
      <w:vertAlign w:val="superscript"/>
    </w:rPr>
  </w:style>
  <w:style w:type="character" w:customStyle="1" w:styleId="Symbols">
    <w:name w:val="Symbols"/>
    <w:basedOn w:val="DefaultParagraphFont"/>
    <w:rsid w:val="00667BD2"/>
    <w:rPr>
      <w:rFonts w:ascii="Symbol" w:hAnsi="Symbol"/>
    </w:rPr>
  </w:style>
  <w:style w:type="character" w:customStyle="1" w:styleId="MenuOptions">
    <w:name w:val="Menu Options"/>
    <w:basedOn w:val="DefaultParagraphFont"/>
    <w:rsid w:val="00667BD2"/>
    <w:rPr>
      <w:rFonts w:ascii="Arial Narrow" w:hAnsi="Arial Narrow"/>
      <w:smallCaps/>
    </w:rPr>
  </w:style>
  <w:style w:type="character" w:customStyle="1" w:styleId="Buttons">
    <w:name w:val="Buttons"/>
    <w:basedOn w:val="DefaultParagraphFont"/>
    <w:rsid w:val="00667BD2"/>
    <w:rPr>
      <w:b/>
    </w:rPr>
  </w:style>
  <w:style w:type="character" w:customStyle="1" w:styleId="Underlined">
    <w:name w:val="Underlined"/>
    <w:basedOn w:val="DefaultParagraphFont"/>
    <w:rsid w:val="00667BD2"/>
    <w:rPr>
      <w:u w:val="single"/>
    </w:rPr>
  </w:style>
  <w:style w:type="paragraph" w:customStyle="1" w:styleId="TableBodyTextRight">
    <w:name w:val="Table Body Text Right"/>
    <w:basedOn w:val="TableBodyText"/>
    <w:rsid w:val="00667BD2"/>
    <w:pPr>
      <w:widowControl w:val="0"/>
      <w:autoSpaceDE w:val="0"/>
      <w:autoSpaceDN w:val="0"/>
      <w:adjustRightInd w:val="0"/>
      <w:jc w:val="right"/>
    </w:pPr>
    <w:rPr>
      <w:rFonts w:cs="Arial"/>
      <w:szCs w:val="18"/>
    </w:rPr>
  </w:style>
  <w:style w:type="paragraph" w:customStyle="1" w:styleId="CopyrightText">
    <w:name w:val="Copyright Text"/>
    <w:basedOn w:val="BodyText"/>
    <w:rsid w:val="00667BD2"/>
    <w:rPr>
      <w:sz w:val="18"/>
    </w:rPr>
  </w:style>
  <w:style w:type="paragraph" w:customStyle="1" w:styleId="BodySmallRight">
    <w:name w:val="Body Small Right"/>
    <w:basedOn w:val="BodyTextRight"/>
    <w:rsid w:val="00667BD2"/>
    <w:rPr>
      <w:sz w:val="18"/>
      <w:szCs w:val="18"/>
    </w:rPr>
  </w:style>
  <w:style w:type="paragraph" w:customStyle="1" w:styleId="MarginEdition">
    <w:name w:val="Margin Edition"/>
    <w:basedOn w:val="MarginNote"/>
    <w:rsid w:val="00667BD2"/>
    <w:pPr>
      <w:spacing w:before="0" w:after="0"/>
    </w:pPr>
    <w:rPr>
      <w:rFonts w:ascii="Times New Roman" w:hAnsi="Times New Roman"/>
      <w:color w:val="999999"/>
    </w:rPr>
  </w:style>
  <w:style w:type="paragraph" w:customStyle="1" w:styleId="Spacer">
    <w:name w:val="Spacer"/>
    <w:basedOn w:val="Normal"/>
    <w:rsid w:val="00667BD2"/>
    <w:rPr>
      <w:sz w:val="2"/>
      <w:szCs w:val="2"/>
    </w:rPr>
  </w:style>
  <w:style w:type="character" w:customStyle="1" w:styleId="Small">
    <w:name w:val="Small"/>
    <w:basedOn w:val="DefaultParagraphFont"/>
    <w:rsid w:val="00667BD2"/>
    <w:rPr>
      <w:sz w:val="16"/>
    </w:rPr>
  </w:style>
  <w:style w:type="paragraph" w:customStyle="1" w:styleId="WideTable">
    <w:name w:val="Wide Table"/>
    <w:basedOn w:val="Normal"/>
    <w:rsid w:val="00667BD2"/>
    <w:pPr>
      <w:ind w:left="-1418"/>
    </w:pPr>
    <w:rPr>
      <w:sz w:val="2"/>
      <w:szCs w:val="2"/>
    </w:rPr>
  </w:style>
  <w:style w:type="character" w:styleId="PageNumber">
    <w:name w:val="page number"/>
    <w:basedOn w:val="DefaultParagraphFont"/>
    <w:rsid w:val="00667BD2"/>
  </w:style>
  <w:style w:type="paragraph" w:styleId="Quote">
    <w:name w:val="Quote"/>
    <w:basedOn w:val="Heading1"/>
    <w:link w:val="QuoteChar"/>
    <w:qFormat/>
    <w:rsid w:val="00667BD2"/>
    <w:rPr>
      <w:b w:val="0"/>
      <w:sz w:val="72"/>
      <w:szCs w:val="72"/>
      <w:lang w:val="en-NZ"/>
    </w:rPr>
  </w:style>
  <w:style w:type="character" w:customStyle="1" w:styleId="QuoteChar">
    <w:name w:val="Quote Char"/>
    <w:basedOn w:val="DefaultParagraphFont"/>
    <w:link w:val="Quote"/>
    <w:rsid w:val="00667B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7BD2"/>
    <w:pPr>
      <w:pageBreakBefore/>
    </w:pPr>
  </w:style>
  <w:style w:type="paragraph" w:customStyle="1" w:styleId="Border">
    <w:name w:val="Border"/>
    <w:basedOn w:val="Normal"/>
    <w:qFormat/>
    <w:rsid w:val="00667B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7BD2"/>
    <w:rPr>
      <w:b/>
      <w:bCs/>
      <w:i/>
      <w:iCs/>
      <w:color w:val="auto"/>
    </w:rPr>
  </w:style>
  <w:style w:type="paragraph" w:styleId="IntenseQuote">
    <w:name w:val="Intense Quote"/>
    <w:basedOn w:val="Normal"/>
    <w:next w:val="Normal"/>
    <w:link w:val="IntenseQuoteChar"/>
    <w:uiPriority w:val="30"/>
    <w:qFormat/>
    <w:rsid w:val="00667B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7B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7BD2"/>
    <w:rPr>
      <w:smallCaps/>
      <w:color w:val="auto"/>
      <w:u w:val="single"/>
    </w:rPr>
  </w:style>
  <w:style w:type="character" w:styleId="IntenseReference">
    <w:name w:val="Intense Reference"/>
    <w:basedOn w:val="DefaultParagraphFont"/>
    <w:uiPriority w:val="32"/>
    <w:qFormat/>
    <w:rsid w:val="00667BD2"/>
    <w:rPr>
      <w:b/>
      <w:bCs/>
      <w:smallCaps/>
      <w:color w:val="auto"/>
      <w:spacing w:val="5"/>
      <w:u w:val="single"/>
    </w:rPr>
  </w:style>
  <w:style w:type="paragraph" w:customStyle="1" w:styleId="2ColumnHeading">
    <w:name w:val="2Column Heading"/>
    <w:basedOn w:val="BodyText"/>
    <w:qFormat/>
    <w:rsid w:val="00667BD2"/>
    <w:pPr>
      <w:spacing w:after="60"/>
      <w:ind w:left="-2268"/>
    </w:pPr>
    <w:rPr>
      <w:b/>
    </w:rPr>
  </w:style>
  <w:style w:type="paragraph" w:customStyle="1" w:styleId="Heading1TOC">
    <w:name w:val="Heading1 TOC"/>
    <w:basedOn w:val="Normal"/>
    <w:qFormat/>
    <w:rsid w:val="00667BD2"/>
    <w:pPr>
      <w:spacing w:before="240" w:after="120"/>
    </w:pPr>
    <w:rPr>
      <w:rFonts w:ascii="Times New Roman" w:hAnsi="Times New Roman"/>
      <w:b/>
      <w:sz w:val="32"/>
    </w:rPr>
  </w:style>
  <w:style w:type="paragraph" w:customStyle="1" w:styleId="Heading2TOC">
    <w:name w:val="Heading2 TOC"/>
    <w:basedOn w:val="Normal"/>
    <w:qFormat/>
    <w:rsid w:val="00667BD2"/>
    <w:pPr>
      <w:spacing w:before="240" w:after="60"/>
    </w:pPr>
    <w:rPr>
      <w:rFonts w:ascii="Times New Roman" w:hAnsi="Times New Roman"/>
      <w:b/>
      <w:sz w:val="28"/>
    </w:rPr>
  </w:style>
  <w:style w:type="character" w:customStyle="1" w:styleId="Underline">
    <w:name w:val="Underline"/>
    <w:basedOn w:val="DefaultParagraphFont"/>
    <w:qFormat/>
    <w:rsid w:val="00667BD2"/>
    <w:rPr>
      <w:u w:val="single"/>
    </w:rPr>
  </w:style>
  <w:style w:type="character" w:customStyle="1" w:styleId="BoldandItalics">
    <w:name w:val="Bold and Italics"/>
    <w:qFormat/>
    <w:rsid w:val="00667BD2"/>
    <w:rPr>
      <w:b/>
      <w:i/>
      <w:u w:val="none"/>
    </w:rPr>
  </w:style>
  <w:style w:type="paragraph" w:styleId="BalloonText">
    <w:name w:val="Balloon Text"/>
    <w:basedOn w:val="Normal"/>
    <w:link w:val="BalloonTextChar"/>
    <w:rsid w:val="00667BD2"/>
    <w:rPr>
      <w:rFonts w:ascii="Tahoma" w:hAnsi="Tahoma" w:cs="Tahoma"/>
      <w:sz w:val="16"/>
      <w:szCs w:val="16"/>
    </w:rPr>
  </w:style>
  <w:style w:type="character" w:customStyle="1" w:styleId="BalloonTextChar">
    <w:name w:val="Balloon Text Char"/>
    <w:basedOn w:val="DefaultParagraphFont"/>
    <w:link w:val="BalloonText"/>
    <w:rsid w:val="00667B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7B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7B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7BD2"/>
    <w:rPr>
      <w:b/>
      <w:color w:val="660033"/>
      <w:spacing w:val="0"/>
    </w:rPr>
  </w:style>
  <w:style w:type="paragraph" w:customStyle="1" w:styleId="Nameditemlist">
    <w:name w:val="Named item list"/>
    <w:basedOn w:val="BodyText"/>
    <w:qFormat/>
    <w:rsid w:val="00667BD2"/>
    <w:pPr>
      <w:tabs>
        <w:tab w:val="left" w:pos="2835"/>
      </w:tabs>
      <w:ind w:left="2835" w:hanging="2835"/>
    </w:pPr>
  </w:style>
  <w:style w:type="paragraph" w:customStyle="1" w:styleId="BodyTextnopadding">
    <w:name w:val="Body Text no padding"/>
    <w:basedOn w:val="BodyText"/>
    <w:qFormat/>
    <w:rsid w:val="00667BD2"/>
    <w:pPr>
      <w:spacing w:before="0" w:after="0"/>
    </w:pPr>
  </w:style>
  <w:style w:type="paragraph" w:customStyle="1" w:styleId="BodyTextBold">
    <w:name w:val="Body Text Bold"/>
    <w:basedOn w:val="BodyText"/>
    <w:qFormat/>
    <w:rsid w:val="00667BD2"/>
    <w:rPr>
      <w:b/>
    </w:rPr>
  </w:style>
  <w:style w:type="character" w:styleId="Hyperlink">
    <w:name w:val="Hyperlink"/>
    <w:basedOn w:val="DefaultParagraphFont"/>
    <w:uiPriority w:val="99"/>
    <w:unhideWhenUsed/>
    <w:rsid w:val="00AE77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662</Words>
  <Characters>4214</Characters>
  <Application>Microsoft Office Word</Application>
  <DocSecurity>0</DocSecurity>
  <Lines>234</Lines>
  <Paragraphs>139</Paragraphs>
  <ScaleCrop>false</ScaleCrop>
  <Company>Author-it Software Corporation Ltd.</Company>
  <LinksUpToDate>false</LinksUpToDate>
  <CharactersWithSpaces>4737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MEM21011 Service calendar and other dial indication mechanisms for watches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2023-02-03T06:23:00Z</dcterms:created>
  <dcterms:modified xsi:type="dcterms:W3CDTF">2023-02-03T06:23:00Z</dcterms:modified>
</cp:coreProperties>
</file>