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2CA" w:rsidP="00A452CA">
      <w:pPr>
        <w:pStyle w:val="Title"/>
      </w:pPr>
      <w:r>
        <w:fldChar w:fldCharType="begin"/>
      </w:r>
      <w:r>
        <w:instrText xml:space="preserve"> TITLE   \* MERGEFORMAT </w:instrText>
      </w:r>
      <w:r>
        <w:fldChar w:fldCharType="separate"/>
      </w:r>
      <w:r>
        <w:t>MEM21011 Service calendar and other dial indication mechanisms for watches</w:t>
      </w:r>
      <w:r>
        <w:fldChar w:fldCharType="end"/>
      </w:r>
    </w:p>
    <w:p w:rsidR="00A452CA" w:rsidP="00A452CA">
      <w:pPr>
        <w:pStyle w:val="Version"/>
        <w:sectPr w:rsidSect="00E34C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CB7" w:rsidP="00E34CB7">
      <w:pPr>
        <w:pStyle w:val="SuperHeading"/>
      </w:pPr>
      <w:r w:rsidRPr="00E34CB7">
        <w:t>MEM21011 Service calendar and other dial indication mechanisms for watches</w:t>
      </w:r>
    </w:p>
    <w:p w:rsidR="00000000" w:rsidRPr="00E34CB7" w:rsidP="00E34CB7">
      <w:pPr>
        <w:pStyle w:val="Heading1"/>
      </w:pPr>
      <w:bookmarkStart w:id="1" w:name="O_951312"/>
      <w:bookmarkEnd w:id="1"/>
      <w:r w:rsidRPr="00E34CB7">
        <w:t>Modification History</w:t>
      </w:r>
    </w:p>
    <w:p w:rsidR="00000000" w:rsidRPr="00E34CB7" w:rsidP="00A452CA">
      <w:pPr>
        <w:pStyle w:val="BodyText"/>
      </w:pPr>
      <w:r w:rsidRPr="00E34CB7">
        <w:t xml:space="preserve">Release 1. Supersedes and is equivalent to MEM21011A Service calendar and other dial indication mechanisms for watches </w:t>
      </w:r>
    </w:p>
    <w:p w:rsidR="00000000" w:rsidRPr="00E34CB7" w:rsidP="00E34CB7">
      <w:pPr>
        <w:pStyle w:val="Heading1"/>
      </w:pPr>
      <w:bookmarkStart w:id="2" w:name="O_951320"/>
      <w:bookmarkEnd w:id="2"/>
      <w:r w:rsidRPr="00E34CB7">
        <w:t>Application</w:t>
      </w:r>
    </w:p>
    <w:p w:rsidR="00000000" w:rsidRPr="00E34CB7" w:rsidP="00A452CA">
      <w:pPr>
        <w:pStyle w:val="BodyText"/>
      </w:pPr>
      <w:r w:rsidRPr="00E34CB7">
        <w:t>This unit of competency defines the skills and knowledge required to service and repair watches with different types or combinations of calendar and other dial indications. This work is often performed in conjunction with major servicing on bot</w:t>
      </w:r>
      <w:r w:rsidRPr="00E34CB7">
        <w:t xml:space="preserve">h mechanical and quartz watches.  </w:t>
      </w:r>
    </w:p>
    <w:p w:rsidR="00000000" w:rsidRPr="00E34CB7" w:rsidP="00A452CA">
      <w:pPr>
        <w:pStyle w:val="BodyText"/>
      </w:pPr>
      <w:r w:rsidRPr="00E34CB7">
        <w:t xml:space="preserve">No licensing, legislative or certification requirements apply to this unit at the time of publication. </w:t>
      </w:r>
    </w:p>
    <w:p w:rsidR="00000000" w:rsidRPr="00E34CB7" w:rsidP="00A452CA">
      <w:pPr>
        <w:pStyle w:val="Heading3"/>
      </w:pPr>
      <w:r w:rsidRPr="00E34CB7">
        <w:rPr>
          <w:rStyle w:val="SpecialBold"/>
        </w:rPr>
        <w:t>Band:  A</w:t>
      </w:r>
    </w:p>
    <w:p w:rsidR="00000000" w:rsidRPr="00E34CB7" w:rsidP="00A452CA">
      <w:pPr>
        <w:pStyle w:val="Heading3"/>
      </w:pPr>
      <w:r w:rsidRPr="00E34CB7">
        <w:rPr>
          <w:rStyle w:val="SpecialBold"/>
        </w:rPr>
        <w:t xml:space="preserve">Unit weight:  4 </w:t>
      </w:r>
    </w:p>
    <w:p w:rsidR="00000000" w:rsidRPr="00E34CB7" w:rsidP="00E34CB7">
      <w:pPr>
        <w:pStyle w:val="Heading1"/>
      </w:pPr>
      <w:bookmarkStart w:id="3" w:name="O_951319"/>
      <w:bookmarkEnd w:id="3"/>
      <w:r w:rsidRPr="00E34CB7">
        <w:t>Pre-requisite Unit</w:t>
      </w:r>
    </w:p>
    <w:tbl>
      <w:tblPr>
        <w:tblW w:w="0" w:type="auto"/>
        <w:tblLayout w:type="fixed"/>
        <w:tblCellMar>
          <w:left w:w="62" w:type="dxa"/>
          <w:right w:w="62" w:type="dxa"/>
        </w:tblCellMar>
        <w:tblLook w:val="0000"/>
      </w:tblPr>
      <w:tblGrid>
        <w:gridCol w:w="2186"/>
        <w:gridCol w:w="6886"/>
      </w:tblGrid>
      <w:tr w:rsidTr="00E34CB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MEM11011</w:t>
            </w:r>
          </w:p>
        </w:tc>
        <w:tc>
          <w:tcPr>
            <w:tcW w:w="6886"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Undertake manual handling</w:t>
            </w:r>
          </w:p>
        </w:tc>
      </w:tr>
      <w:tr w:rsidTr="00E34CB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MEM13015</w:t>
            </w:r>
          </w:p>
        </w:tc>
        <w:tc>
          <w:tcPr>
            <w:tcW w:w="6886"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Work saf</w:t>
            </w:r>
            <w:r w:rsidRPr="00E34CB7">
              <w:t>ely and effectively in manufacturing and engineering</w:t>
            </w:r>
          </w:p>
        </w:tc>
      </w:tr>
      <w:tr w:rsidTr="00E34CB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MEM16006</w:t>
            </w:r>
          </w:p>
        </w:tc>
        <w:tc>
          <w:tcPr>
            <w:tcW w:w="6886"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Organise and communicate information</w:t>
            </w:r>
          </w:p>
        </w:tc>
      </w:tr>
      <w:tr w:rsidTr="00E34CB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MEM18001</w:t>
            </w:r>
          </w:p>
        </w:tc>
        <w:tc>
          <w:tcPr>
            <w:tcW w:w="6886"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Use hand tools</w:t>
            </w:r>
          </w:p>
        </w:tc>
      </w:tr>
      <w:tr w:rsidTr="00E34CB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MEM21008</w:t>
            </w:r>
          </w:p>
        </w:tc>
        <w:tc>
          <w:tcPr>
            <w:tcW w:w="6886"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Service mechanical watches</w:t>
            </w:r>
          </w:p>
        </w:tc>
      </w:tr>
      <w:tr w:rsidTr="00E34CB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MEM21009</w:t>
            </w:r>
          </w:p>
        </w:tc>
        <w:tc>
          <w:tcPr>
            <w:tcW w:w="6886"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Inspect, diagnose, adjust and repair mechanical watches</w:t>
            </w:r>
          </w:p>
        </w:tc>
      </w:tr>
      <w:tr w:rsidTr="00E34CB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MEM21010</w:t>
            </w:r>
          </w:p>
        </w:tc>
        <w:tc>
          <w:tcPr>
            <w:tcW w:w="6886" w:type="dxa"/>
            <w:tcBorders>
              <w:top w:val="nil"/>
              <w:left w:val="nil"/>
              <w:bottom w:val="nil"/>
              <w:right w:val="nil"/>
            </w:tcBorders>
            <w:tcMar>
              <w:top w:w="0" w:type="dxa"/>
              <w:left w:w="62" w:type="dxa"/>
              <w:bottom w:w="0" w:type="dxa"/>
              <w:right w:w="62" w:type="dxa"/>
            </w:tcMar>
          </w:tcPr>
          <w:p w:rsidR="00000000" w:rsidRPr="00E34CB7" w:rsidP="00E34CB7">
            <w:pPr>
              <w:pStyle w:val="BodyText"/>
            </w:pPr>
            <w:r w:rsidRPr="00E34CB7">
              <w:t>Service watch power generating systems</w:t>
            </w:r>
          </w:p>
        </w:tc>
      </w:tr>
    </w:tbl>
    <w:p w:rsidR="00000000" w:rsidRPr="00E34CB7" w:rsidP="00E34CB7">
      <w:pPr>
        <w:pStyle w:val="BodyText"/>
      </w:pPr>
    </w:p>
    <w:p w:rsidR="00000000" w:rsidRPr="00E34CB7" w:rsidP="00E34CB7">
      <w:pPr>
        <w:pStyle w:val="AllowPageBreak"/>
      </w:pPr>
    </w:p>
    <w:p w:rsidR="00000000" w:rsidRPr="00E34CB7" w:rsidP="00E34CB7">
      <w:pPr>
        <w:pStyle w:val="Heading1"/>
      </w:pPr>
      <w:bookmarkStart w:id="4" w:name="O_951318"/>
      <w:bookmarkEnd w:id="4"/>
      <w:r w:rsidRPr="00E34CB7">
        <w:t>Competency Field</w:t>
      </w:r>
    </w:p>
    <w:p w:rsidR="00000000" w:rsidRPr="00E34CB7" w:rsidP="00A452CA">
      <w:pPr>
        <w:pStyle w:val="BodyText"/>
      </w:pPr>
      <w:r w:rsidRPr="00E34CB7">
        <w:t>Horology</w:t>
      </w:r>
    </w:p>
    <w:p w:rsidR="00000000" w:rsidRPr="00E34CB7" w:rsidP="00E34CB7">
      <w:pPr>
        <w:pStyle w:val="Heading1"/>
      </w:pPr>
      <w:bookmarkStart w:id="5" w:name="O_951316"/>
      <w:bookmarkEnd w:id="5"/>
      <w:r w:rsidRPr="00E34CB7">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E34CB7">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Performance criteria describe the performance needed to demonstrate achievement of the element.</w:t>
            </w:r>
          </w:p>
        </w:tc>
      </w:tr>
      <w:tr w:rsidTr="00E34C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34CB7" w:rsidP="00E34CB7">
            <w:pPr>
              <w:pStyle w:val="BodyText"/>
            </w:pPr>
            <w:r w:rsidRPr="00E34CB7">
              <w:t>1</w:t>
            </w:r>
          </w:p>
        </w:tc>
        <w:tc>
          <w:tcPr>
            <w:tcW w:w="1986" w:type="dxa"/>
            <w:vMerge w:val="restart"/>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rPr>
                <w:rStyle w:val="SpecialBold"/>
              </w:rPr>
              <w:t>Determine servicing requirements</w:t>
            </w:r>
          </w:p>
        </w:tc>
        <w:tc>
          <w:tcPr>
            <w:tcW w:w="779"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1.1</w:t>
            </w:r>
          </w:p>
        </w:tc>
        <w:tc>
          <w:tcPr>
            <w:tcW w:w="5678"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Follow standard operating procedures (SOPs)</w:t>
            </w:r>
          </w:p>
        </w:tc>
      </w:tr>
      <w:tr w:rsidTr="00E34C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1.2</w:t>
            </w:r>
          </w:p>
        </w:tc>
        <w:tc>
          <w:tcPr>
            <w:tcW w:w="5678"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Comply with work health and safety (WHS) requirements at all times</w:t>
            </w:r>
          </w:p>
        </w:tc>
      </w:tr>
      <w:tr w:rsidTr="00E34C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1.3</w:t>
            </w:r>
          </w:p>
        </w:tc>
        <w:tc>
          <w:tcPr>
            <w:tcW w:w="5678"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Identify watch type, calendar construction and dial indicator components</w:t>
            </w:r>
          </w:p>
        </w:tc>
      </w:tr>
      <w:tr w:rsidTr="00E34C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1.4</w:t>
            </w:r>
          </w:p>
        </w:tc>
        <w:tc>
          <w:tcPr>
            <w:tcW w:w="5678"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Inspect condition and functions of calendar operation and dial indicator mechanisms, including creeping, semi-instantaneous, instantaneous, retrograde and rapid corrector</w:t>
            </w:r>
          </w:p>
        </w:tc>
      </w:tr>
      <w:tr w:rsidTr="00E34C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1.5</w:t>
            </w:r>
          </w:p>
        </w:tc>
        <w:tc>
          <w:tcPr>
            <w:tcW w:w="5678"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Prepare watch for handover</w:t>
            </w:r>
          </w:p>
        </w:tc>
      </w:tr>
      <w:tr w:rsidTr="00E34C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1.6</w:t>
            </w:r>
          </w:p>
        </w:tc>
        <w:tc>
          <w:tcPr>
            <w:tcW w:w="5678"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Record and document repair requirements</w:t>
            </w:r>
          </w:p>
        </w:tc>
      </w:tr>
      <w:tr w:rsidTr="00E34CB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E34CB7">
            <w:pPr>
              <w:pStyle w:val="BodyText"/>
              <w:rPr>
                <w:lang w:val="en-NZ"/>
              </w:rPr>
            </w:pPr>
          </w:p>
        </w:tc>
      </w:tr>
      <w:tr w:rsidTr="00E34C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34CB7" w:rsidP="00E34CB7">
            <w:pPr>
              <w:pStyle w:val="BodyText"/>
            </w:pPr>
            <w:r w:rsidRPr="00E34CB7">
              <w:t>2</w:t>
            </w:r>
          </w:p>
        </w:tc>
        <w:tc>
          <w:tcPr>
            <w:tcW w:w="1986" w:type="dxa"/>
            <w:vMerge w:val="restart"/>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rPr>
                <w:rStyle w:val="SpecialBold"/>
              </w:rPr>
              <w:t>Dismantle and reassemble calendar and dial indication mechanisms</w:t>
            </w:r>
          </w:p>
        </w:tc>
        <w:tc>
          <w:tcPr>
            <w:tcW w:w="779"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2.1</w:t>
            </w:r>
          </w:p>
        </w:tc>
        <w:tc>
          <w:tcPr>
            <w:tcW w:w="5678"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Select and use appropriate personal protective equipment (PPE) in accordance with SOPs</w:t>
            </w:r>
          </w:p>
        </w:tc>
      </w:tr>
      <w:tr w:rsidTr="00E34C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2.2</w:t>
            </w:r>
          </w:p>
        </w:tc>
        <w:tc>
          <w:tcPr>
            <w:tcW w:w="5678"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Select and use appropriate workshop tools and equipment</w:t>
            </w:r>
          </w:p>
        </w:tc>
      </w:tr>
      <w:tr w:rsidTr="00E34C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2.3</w:t>
            </w:r>
          </w:p>
        </w:tc>
        <w:tc>
          <w:tcPr>
            <w:tcW w:w="5678"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Open and close watch cases</w:t>
            </w:r>
          </w:p>
        </w:tc>
      </w:tr>
      <w:tr w:rsidTr="00E34C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2.4</w:t>
            </w:r>
          </w:p>
        </w:tc>
        <w:tc>
          <w:tcPr>
            <w:tcW w:w="5678"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Dismantle and reassemble calendar and dial indication mechanisms according to design and construction constraints</w:t>
            </w:r>
          </w:p>
        </w:tc>
      </w:tr>
      <w:tr w:rsidTr="00E34CB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E34CB7">
            <w:pPr>
              <w:pStyle w:val="BodyText"/>
              <w:rPr>
                <w:lang w:val="en-NZ"/>
              </w:rPr>
            </w:pPr>
          </w:p>
        </w:tc>
      </w:tr>
      <w:tr w:rsidTr="00E34C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34CB7" w:rsidP="00E34CB7">
            <w:pPr>
              <w:pStyle w:val="BodyText"/>
            </w:pPr>
            <w:r w:rsidRPr="00E34CB7">
              <w:t>3</w:t>
            </w:r>
          </w:p>
        </w:tc>
        <w:tc>
          <w:tcPr>
            <w:tcW w:w="1986" w:type="dxa"/>
            <w:vMerge w:val="restart"/>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rPr>
                <w:rStyle w:val="SpecialBold"/>
              </w:rPr>
              <w:t>Service and verify calendar and dial indication mechanisms</w:t>
            </w:r>
          </w:p>
        </w:tc>
        <w:tc>
          <w:tcPr>
            <w:tcW w:w="779"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3.1</w:t>
            </w:r>
          </w:p>
        </w:tc>
        <w:tc>
          <w:tcPr>
            <w:tcW w:w="5678"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Identify calendar and dial indications drive mechanism</w:t>
            </w:r>
          </w:p>
        </w:tc>
      </w:tr>
      <w:tr w:rsidTr="00E34C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3.2</w:t>
            </w:r>
          </w:p>
        </w:tc>
        <w:tc>
          <w:tcPr>
            <w:tcW w:w="5678"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Identify faults and repair or replace worn or damaged component parts</w:t>
            </w:r>
          </w:p>
        </w:tc>
      </w:tr>
      <w:tr w:rsidTr="00E34C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3.3</w:t>
            </w:r>
          </w:p>
        </w:tc>
        <w:tc>
          <w:tcPr>
            <w:tcW w:w="5678"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Clean components using appropriate methods</w:t>
            </w:r>
          </w:p>
        </w:tc>
      </w:tr>
      <w:tr w:rsidTr="00E34C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3.4</w:t>
            </w:r>
          </w:p>
        </w:tc>
        <w:tc>
          <w:tcPr>
            <w:tcW w:w="5678"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Inspect correct fitting and function of all components</w:t>
            </w:r>
          </w:p>
        </w:tc>
      </w:tr>
      <w:tr w:rsidTr="00E34C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3.5</w:t>
            </w:r>
          </w:p>
        </w:tc>
        <w:tc>
          <w:tcPr>
            <w:tcW w:w="5678"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Verify sequencing and alignment of components during reassembly, including dial and hand fitting</w:t>
            </w:r>
          </w:p>
        </w:tc>
      </w:tr>
      <w:tr w:rsidTr="00E34C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3.6</w:t>
            </w:r>
          </w:p>
        </w:tc>
        <w:tc>
          <w:tcPr>
            <w:tcW w:w="5678"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 xml:space="preserve">Lubricate components according to manufacturer </w:t>
            </w:r>
            <w:r w:rsidRPr="00E34CB7">
              <w:t>specifications</w:t>
            </w:r>
          </w:p>
        </w:tc>
      </w:tr>
      <w:tr w:rsidTr="00E34C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3.7</w:t>
            </w:r>
          </w:p>
        </w:tc>
        <w:tc>
          <w:tcPr>
            <w:tcW w:w="5678" w:type="dxa"/>
            <w:tcBorders>
              <w:top w:val="nil"/>
              <w:left w:val="nil"/>
              <w:bottom w:val="nil"/>
              <w:right w:val="nil"/>
            </w:tcBorders>
            <w:tcMar>
              <w:top w:w="0" w:type="dxa"/>
              <w:left w:w="62" w:type="dxa"/>
              <w:bottom w:w="0" w:type="dxa"/>
              <w:right w:w="62" w:type="dxa"/>
            </w:tcMar>
          </w:tcPr>
          <w:p w:rsidR="00000000" w:rsidRPr="00E34CB7" w:rsidP="00E34CB7">
            <w:pPr>
              <w:pStyle w:val="BodyText"/>
            </w:pPr>
            <w:r w:rsidRPr="00E34CB7">
              <w:t>Test calendar and dia</w:t>
            </w:r>
            <w:r w:rsidRPr="00E34CB7">
              <w:t>l indications will not impact on watch performance, amplitude or timekeeping</w:t>
            </w:r>
          </w:p>
        </w:tc>
      </w:tr>
    </w:tbl>
    <w:p w:rsidR="00000000" w:rsidRPr="00E34CB7" w:rsidP="00E34CB7">
      <w:pPr>
        <w:pStyle w:val="BodyText"/>
      </w:pPr>
    </w:p>
    <w:p w:rsidR="00000000" w:rsidRPr="00E34CB7" w:rsidP="00E34CB7">
      <w:pPr>
        <w:pStyle w:val="AllowPageBreak"/>
      </w:pPr>
    </w:p>
    <w:p w:rsidR="00000000" w:rsidRPr="00E34CB7" w:rsidP="00E34CB7">
      <w:pPr>
        <w:pStyle w:val="Heading1"/>
      </w:pPr>
      <w:bookmarkStart w:id="6" w:name="O_951315"/>
      <w:bookmarkEnd w:id="6"/>
      <w:r w:rsidRPr="00E34CB7">
        <w:t>Foundation Skills</w:t>
      </w:r>
    </w:p>
    <w:p w:rsidR="00000000" w:rsidRPr="00E34CB7" w:rsidP="00A452CA">
      <w:pPr>
        <w:pStyle w:val="BodyText"/>
      </w:pPr>
      <w:r w:rsidRPr="00E34CB7">
        <w:t xml:space="preserve">This section describes those required skills (reading, writing, oral communication and numeracy) that are essential to workplace performance in this unit of competency.  </w:t>
      </w:r>
    </w:p>
    <w:p w:rsidR="00000000" w:rsidRPr="00E34CB7" w:rsidP="00A452CA">
      <w:pPr>
        <w:pStyle w:val="BodyText"/>
      </w:pPr>
      <w:r w:rsidRPr="00E34CB7">
        <w:t xml:space="preserve">Foundation skills essential to performance are explicit in the performance criteria </w:t>
      </w:r>
      <w:r w:rsidRPr="00E34CB7">
        <w:t>of this unit of competency.</w:t>
      </w:r>
    </w:p>
    <w:p w:rsidR="00000000" w:rsidRPr="00E34CB7" w:rsidP="00E34CB7">
      <w:pPr>
        <w:pStyle w:val="Heading1"/>
      </w:pPr>
      <w:bookmarkStart w:id="7" w:name="O_951314"/>
      <w:bookmarkEnd w:id="7"/>
      <w:r w:rsidRPr="00E34CB7">
        <w:t>Range of Conditions</w:t>
      </w:r>
    </w:p>
    <w:tbl>
      <w:tblPr>
        <w:tblW w:w="0" w:type="auto"/>
        <w:tblLayout w:type="fixed"/>
        <w:tblCellMar>
          <w:left w:w="62" w:type="dxa"/>
          <w:right w:w="62" w:type="dxa"/>
        </w:tblCellMar>
        <w:tblLook w:val="0000"/>
      </w:tblPr>
      <w:tblGrid>
        <w:gridCol w:w="2760"/>
        <w:gridCol w:w="6382"/>
      </w:tblGrid>
      <w:tr w:rsidTr="00E34CB7">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t>This field allows for different work environments and conditions that may affect performance. Essential operating conditions that may be present (depending on the work situation, needs of the</w:t>
            </w:r>
            <w:r w:rsidRPr="00E34CB7">
              <w:t xml:space="preserve"> candidate, accessibility of the item, and local industry and regional contexts) are included.</w:t>
            </w:r>
          </w:p>
        </w:tc>
      </w:tr>
      <w:tr w:rsidTr="00E34CB7">
        <w:tblPrEx>
          <w:tblW w:w="0" w:type="auto"/>
          <w:tblLayout w:type="fixed"/>
          <w:tblCellMar>
            <w:left w:w="62" w:type="dxa"/>
            <w:right w:w="62" w:type="dxa"/>
          </w:tblCellMar>
          <w:tblLook w:val="0000"/>
        </w:tblPrEx>
        <w:trPr>
          <w:trHeight w:val="2794"/>
        </w:trPr>
        <w:tc>
          <w:tcPr>
            <w:tcW w:w="2760"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rPr>
                <w:rStyle w:val="SpecialBold"/>
              </w:rPr>
              <w:t>Watch type, calendar construction and dial indication components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E34CB7" w:rsidP="00E34CB7">
            <w:pPr>
              <w:pStyle w:val="ListBullet"/>
            </w:pPr>
            <w:r w:rsidRPr="00E34CB7">
              <w:t>date indications:</w:t>
            </w:r>
          </w:p>
          <w:p w:rsidR="00000000" w:rsidRPr="00E34CB7" w:rsidP="00E34CB7">
            <w:pPr>
              <w:pStyle w:val="ListBullet2"/>
            </w:pPr>
            <w:r w:rsidRPr="00E34CB7">
              <w:t>day/date</w:t>
            </w:r>
          </w:p>
          <w:p w:rsidR="00000000" w:rsidRPr="00E34CB7" w:rsidP="00E34CB7">
            <w:pPr>
              <w:pStyle w:val="ListBullet2"/>
            </w:pPr>
            <w:r w:rsidRPr="00E34CB7">
              <w:t>day/date/month</w:t>
            </w:r>
          </w:p>
          <w:p w:rsidR="00000000" w:rsidRPr="00E34CB7" w:rsidP="00E34CB7">
            <w:pPr>
              <w:pStyle w:val="ListBullet"/>
            </w:pPr>
            <w:r w:rsidRPr="00E34CB7">
              <w:t>moon phase and year indicators</w:t>
            </w:r>
          </w:p>
          <w:p w:rsidR="00000000" w:rsidRPr="00E34CB7" w:rsidP="00E34CB7">
            <w:pPr>
              <w:pStyle w:val="ListBullet"/>
            </w:pPr>
            <w:r w:rsidRPr="00E34CB7">
              <w:t>annual calendar</w:t>
            </w:r>
          </w:p>
          <w:p w:rsidR="00000000" w:rsidRPr="00E34CB7" w:rsidP="00E34CB7">
            <w:pPr>
              <w:pStyle w:val="ListBullet"/>
            </w:pPr>
            <w:r w:rsidRPr="00E34CB7">
              <w:t>perpetual calendar</w:t>
            </w:r>
          </w:p>
          <w:p w:rsidR="00000000" w:rsidRPr="00E34CB7" w:rsidP="00E34CB7">
            <w:pPr>
              <w:pStyle w:val="ListBullet"/>
            </w:pPr>
            <w:r w:rsidRPr="00E34CB7">
              <w:t>power reserve indicator</w:t>
            </w:r>
          </w:p>
          <w:p w:rsidR="00000000" w:rsidP="00E34CB7">
            <w:pPr>
              <w:pStyle w:val="ListBullet"/>
              <w:rPr>
                <w:lang w:val="en-NZ"/>
              </w:rPr>
            </w:pPr>
            <w:r w:rsidRPr="00E34CB7">
              <w:t>equation of time</w:t>
            </w:r>
          </w:p>
        </w:tc>
      </w:tr>
      <w:tr w:rsidTr="00E34CB7">
        <w:tblPrEx>
          <w:tblW w:w="0" w:type="auto"/>
          <w:tblLayout w:type="fixed"/>
          <w:tblCellMar>
            <w:left w:w="62" w:type="dxa"/>
            <w:right w:w="62" w:type="dxa"/>
          </w:tblCellMar>
          <w:tblLook w:val="0000"/>
        </w:tblPrEx>
        <w:trPr>
          <w:trHeight w:val="1253"/>
        </w:trPr>
        <w:tc>
          <w:tcPr>
            <w:tcW w:w="2760"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rPr>
                <w:rStyle w:val="SpecialBold"/>
              </w:rPr>
              <w:t>Record and document repair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E34CB7" w:rsidP="00E34CB7">
            <w:pPr>
              <w:pStyle w:val="ListBullet"/>
            </w:pPr>
            <w:r w:rsidRPr="00E34CB7">
              <w:t>date and extent of repair</w:t>
            </w:r>
          </w:p>
          <w:p w:rsidR="00000000" w:rsidRPr="00E34CB7" w:rsidP="00E34CB7">
            <w:pPr>
              <w:pStyle w:val="ListBullet"/>
            </w:pPr>
            <w:r w:rsidRPr="00E34CB7">
              <w:t>cost of replacement part</w:t>
            </w:r>
          </w:p>
          <w:p w:rsidR="00000000" w:rsidP="00E34CB7">
            <w:pPr>
              <w:pStyle w:val="ListBullet"/>
              <w:rPr>
                <w:lang w:val="en-NZ"/>
              </w:rPr>
            </w:pPr>
            <w:r w:rsidRPr="00E34CB7">
              <w:t xml:space="preserve">time spent on procedure </w:t>
            </w:r>
          </w:p>
        </w:tc>
      </w:tr>
      <w:tr w:rsidTr="00E34CB7">
        <w:tblPrEx>
          <w:tblW w:w="0" w:type="auto"/>
          <w:tblLayout w:type="fixed"/>
          <w:tblCellMar>
            <w:left w:w="62" w:type="dxa"/>
            <w:right w:w="62" w:type="dxa"/>
          </w:tblCellMar>
          <w:tblLook w:val="0000"/>
        </w:tblPrEx>
        <w:trPr>
          <w:trHeight w:val="2526"/>
        </w:trPr>
        <w:tc>
          <w:tcPr>
            <w:tcW w:w="2760"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rPr>
                <w:rStyle w:val="SpecialBold"/>
              </w:rPr>
              <w:t>Workshop tools and equipment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E34CB7" w:rsidP="00E34CB7">
            <w:pPr>
              <w:pStyle w:val="ListBullet"/>
            </w:pPr>
            <w:r w:rsidRPr="00E34CB7">
              <w:t>hand tools:</w:t>
            </w:r>
          </w:p>
          <w:p w:rsidR="00000000" w:rsidRPr="00E34CB7" w:rsidP="00E34CB7">
            <w:pPr>
              <w:pStyle w:val="ListBullet2"/>
            </w:pPr>
            <w:r w:rsidRPr="00E34CB7">
              <w:t>tweezers</w:t>
            </w:r>
          </w:p>
          <w:p w:rsidR="00000000" w:rsidRPr="00E34CB7" w:rsidP="00E34CB7">
            <w:pPr>
              <w:pStyle w:val="ListBullet2"/>
            </w:pPr>
            <w:r w:rsidRPr="00E34CB7">
              <w:t xml:space="preserve">screwdrivers </w:t>
            </w:r>
          </w:p>
          <w:p w:rsidR="00000000" w:rsidRPr="00E34CB7" w:rsidP="00E34CB7">
            <w:pPr>
              <w:pStyle w:val="ListBullet2"/>
            </w:pPr>
            <w:r w:rsidRPr="00E34CB7">
              <w:t>eyeglasses</w:t>
            </w:r>
          </w:p>
          <w:p w:rsidR="00000000" w:rsidRPr="00E34CB7" w:rsidP="00E34CB7">
            <w:pPr>
              <w:pStyle w:val="ListBullet"/>
            </w:pPr>
            <w:r w:rsidRPr="00E34CB7">
              <w:t>hand fitting pushers</w:t>
            </w:r>
          </w:p>
          <w:p w:rsidR="00000000" w:rsidRPr="00E34CB7" w:rsidP="00E34CB7">
            <w:pPr>
              <w:pStyle w:val="ListBullet"/>
            </w:pPr>
            <w:r w:rsidRPr="00E34CB7">
              <w:t xml:space="preserve">stakes </w:t>
            </w:r>
          </w:p>
          <w:p w:rsidR="00000000" w:rsidP="00E34CB7">
            <w:pPr>
              <w:pStyle w:val="ListBullet"/>
              <w:rPr>
                <w:lang w:val="en-NZ"/>
              </w:rPr>
            </w:pPr>
            <w:r w:rsidRPr="00E34CB7">
              <w:t>presses</w:t>
            </w:r>
          </w:p>
        </w:tc>
      </w:tr>
      <w:tr w:rsidTr="00E34CB7">
        <w:tblPrEx>
          <w:tblW w:w="0" w:type="auto"/>
          <w:tblLayout w:type="fixed"/>
          <w:tblCellMar>
            <w:left w:w="62" w:type="dxa"/>
            <w:right w:w="62" w:type="dxa"/>
          </w:tblCellMar>
          <w:tblLook w:val="0000"/>
        </w:tblPrEx>
        <w:trPr>
          <w:trHeight w:val="1863"/>
        </w:trPr>
        <w:tc>
          <w:tcPr>
            <w:tcW w:w="2760"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rPr>
                <w:rStyle w:val="SpecialBold"/>
              </w:rPr>
              <w:t>Calendar and dial indications drive mechanism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E34CB7" w:rsidP="00E34CB7">
            <w:pPr>
              <w:pStyle w:val="ListBullet"/>
            </w:pPr>
            <w:r w:rsidRPr="00E34CB7">
              <w:t xml:space="preserve">creeping </w:t>
            </w:r>
          </w:p>
          <w:p w:rsidR="00000000" w:rsidRPr="00E34CB7" w:rsidP="00E34CB7">
            <w:pPr>
              <w:pStyle w:val="ListBullet"/>
            </w:pPr>
            <w:r w:rsidRPr="00E34CB7">
              <w:t>semi-instantaneous</w:t>
            </w:r>
          </w:p>
          <w:p w:rsidR="00000000" w:rsidRPr="00E34CB7" w:rsidP="00E34CB7">
            <w:pPr>
              <w:pStyle w:val="ListBullet"/>
            </w:pPr>
            <w:r w:rsidRPr="00E34CB7">
              <w:t>instantaneous</w:t>
            </w:r>
          </w:p>
          <w:p w:rsidR="00000000" w:rsidRPr="00E34CB7" w:rsidP="00E34CB7">
            <w:pPr>
              <w:pStyle w:val="ListBullet"/>
            </w:pPr>
            <w:r w:rsidRPr="00E34CB7">
              <w:t>retrograde</w:t>
            </w:r>
          </w:p>
          <w:p w:rsidR="00000000" w:rsidP="00E34CB7">
            <w:pPr>
              <w:pStyle w:val="ListBullet"/>
              <w:rPr>
                <w:lang w:val="en-NZ"/>
              </w:rPr>
            </w:pPr>
            <w:r w:rsidRPr="00E34CB7">
              <w:t>rapid corrector</w:t>
            </w:r>
          </w:p>
        </w:tc>
      </w:tr>
      <w:tr w:rsidTr="00E34CB7">
        <w:tblPrEx>
          <w:tblW w:w="0" w:type="auto"/>
          <w:tblLayout w:type="fixed"/>
          <w:tblCellMar>
            <w:left w:w="62" w:type="dxa"/>
            <w:right w:w="62" w:type="dxa"/>
          </w:tblCellMar>
          <w:tblLook w:val="0000"/>
        </w:tblPrEx>
        <w:trPr>
          <w:trHeight w:val="1863"/>
        </w:trPr>
        <w:tc>
          <w:tcPr>
            <w:tcW w:w="2760" w:type="dxa"/>
            <w:tcBorders>
              <w:top w:val="nil"/>
              <w:left w:val="nil"/>
              <w:bottom w:val="nil"/>
              <w:right w:val="nil"/>
            </w:tcBorders>
            <w:tcMar>
              <w:top w:w="0" w:type="dxa"/>
              <w:left w:w="62" w:type="dxa"/>
              <w:bottom w:w="0" w:type="dxa"/>
              <w:right w:w="62" w:type="dxa"/>
            </w:tcMar>
          </w:tcPr>
          <w:p w:rsidR="00000000" w:rsidP="00E34CB7">
            <w:pPr>
              <w:pStyle w:val="BodyText"/>
              <w:rPr>
                <w:lang w:val="en-NZ"/>
              </w:rPr>
            </w:pPr>
            <w:r w:rsidRPr="00E34CB7">
              <w:rPr>
                <w:rStyle w:val="SpecialBold"/>
              </w:rPr>
              <w:t>Correct fitting and functions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E34CB7" w:rsidP="00E34CB7">
            <w:pPr>
              <w:pStyle w:val="ListBullet"/>
            </w:pPr>
            <w:r w:rsidRPr="00E34CB7">
              <w:t>end shake of components</w:t>
            </w:r>
          </w:p>
          <w:p w:rsidR="00000000" w:rsidRPr="00E34CB7" w:rsidP="00E34CB7">
            <w:pPr>
              <w:pStyle w:val="ListBullet"/>
            </w:pPr>
            <w:r w:rsidRPr="00E34CB7">
              <w:t>clearances of moving parts</w:t>
            </w:r>
          </w:p>
          <w:p w:rsidR="00000000" w:rsidRPr="00E34CB7" w:rsidP="00E34CB7">
            <w:pPr>
              <w:pStyle w:val="ListBullet"/>
            </w:pPr>
            <w:r w:rsidRPr="00E34CB7">
              <w:t>penetrations of calendar drive wheel mechanism and finger</w:t>
            </w:r>
          </w:p>
          <w:p w:rsidR="00000000" w:rsidRPr="00E34CB7" w:rsidP="00E34CB7">
            <w:pPr>
              <w:pStyle w:val="ListBullet"/>
            </w:pPr>
            <w:r w:rsidRPr="00E34CB7">
              <w:t xml:space="preserve">spaces </w:t>
            </w:r>
          </w:p>
          <w:p w:rsidR="00000000" w:rsidRPr="00E34CB7" w:rsidP="00E34CB7">
            <w:pPr>
              <w:pStyle w:val="ListBullet"/>
            </w:pPr>
            <w:r w:rsidRPr="00E34CB7">
              <w:t>safe</w:t>
            </w:r>
            <w:r w:rsidRPr="00E34CB7">
              <w:t xml:space="preserve">ty features </w:t>
            </w:r>
          </w:p>
          <w:p w:rsidR="00000000" w:rsidRPr="00E34CB7" w:rsidP="00E34CB7">
            <w:pPr>
              <w:pStyle w:val="ListBullet"/>
            </w:pPr>
            <w:r w:rsidRPr="00E34CB7">
              <w:t xml:space="preserve">calendar change operation at midnight </w:t>
            </w:r>
          </w:p>
          <w:p w:rsidR="00000000" w:rsidRPr="00E34CB7" w:rsidP="00E34CB7">
            <w:pPr>
              <w:pStyle w:val="ListBullet"/>
            </w:pPr>
            <w:r w:rsidRPr="00E34CB7">
              <w:t xml:space="preserve">calendar action </w:t>
            </w:r>
          </w:p>
          <w:p w:rsidR="00000000" w:rsidRPr="00E34CB7" w:rsidP="00E34CB7">
            <w:pPr>
              <w:pStyle w:val="ListBullet"/>
            </w:pPr>
            <w:r w:rsidRPr="00E34CB7">
              <w:t>rapid corrector engagement and operation</w:t>
            </w:r>
          </w:p>
          <w:p w:rsidR="00000000" w:rsidRPr="00E34CB7" w:rsidP="00E34CB7">
            <w:pPr>
              <w:pStyle w:val="ListBullet"/>
            </w:pPr>
            <w:r w:rsidRPr="00E34CB7">
              <w:t xml:space="preserve">calendar day and date mechanisms </w:t>
            </w:r>
          </w:p>
        </w:tc>
      </w:tr>
    </w:tbl>
    <w:p w:rsidR="00000000" w:rsidRPr="00E34CB7" w:rsidP="00E34CB7">
      <w:pPr>
        <w:pStyle w:val="BodyText"/>
      </w:pPr>
    </w:p>
    <w:p w:rsidR="00000000" w:rsidRPr="00E34CB7" w:rsidP="00E34CB7">
      <w:pPr>
        <w:pStyle w:val="AllowPageBreak"/>
      </w:pPr>
    </w:p>
    <w:p w:rsidR="00000000" w:rsidRPr="00E34CB7" w:rsidP="00E34CB7">
      <w:pPr>
        <w:pStyle w:val="Heading1"/>
      </w:pPr>
      <w:bookmarkStart w:id="8" w:name="O_951313"/>
      <w:bookmarkEnd w:id="8"/>
      <w:r w:rsidRPr="00E34CB7">
        <w:t>Unit Mapping Information</w:t>
      </w:r>
    </w:p>
    <w:p w:rsidR="00000000" w:rsidRPr="00E34CB7" w:rsidP="00A452CA">
      <w:pPr>
        <w:pStyle w:val="BodyText"/>
      </w:pPr>
      <w:r w:rsidRPr="00E34CB7">
        <w:t xml:space="preserve">Release 1. Supersedes and is equivalent to MEM21011A Service calendar and other dial indication mechanisms for watches </w:t>
      </w:r>
    </w:p>
    <w:p w:rsidR="00000000" w:rsidRPr="00E34CB7" w:rsidP="00E34CB7">
      <w:pPr>
        <w:pStyle w:val="Heading1"/>
      </w:pPr>
      <w:bookmarkStart w:id="9" w:name="O_951306"/>
      <w:bookmarkEnd w:id="9"/>
      <w:r w:rsidRPr="00E34CB7">
        <w:t>Links</w:t>
      </w:r>
    </w:p>
    <w:p w:rsidR="00000000" w:rsidRPr="00E34CB7" w:rsidP="00A452CA">
      <w:pPr>
        <w:pStyle w:val="BodyText"/>
      </w:pPr>
      <w:r w:rsidRPr="00E34CB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4047B">
        <w:rPr>
          <w:rStyle w:val="Hyperlink"/>
        </w:rPr>
        <w:t>https://vetnet.gov.au/Pages/TrainingDocs.aspx?q=b7050d37-5fd0-4740-8f7d-3b7a49c10bb2</w:t>
      </w:r>
      <w:r>
        <w:fldChar w:fldCharType="end"/>
      </w:r>
    </w:p>
    <w:p w:rsidR="00000000" w:rsidRPr="00E34CB7" w:rsidP="00A452CA">
      <w:pPr>
        <w:pStyle w:val="BodyText"/>
        <w:sectPr w:rsidSect="00E34CB7">
          <w:headerReference w:type="default" r:id="rId10"/>
          <w:footerReference w:type="default" r:id="rId11"/>
          <w:pgSz w:w="11908" w:h="16833"/>
          <w:pgMar w:top="1702" w:right="1418" w:bottom="1702" w:left="1418" w:header="992" w:footer="992" w:gutter="0"/>
          <w:cols w:space="720"/>
          <w:noEndnote/>
          <w:docGrid w:linePitch="299"/>
        </w:sectPr>
      </w:pPr>
    </w:p>
    <w:p w:rsidR="00000000" w:rsidRPr="00E34CB7" w:rsidP="00E34CB7">
      <w:pPr>
        <w:pStyle w:val="SuperHeading"/>
      </w:pPr>
      <w:r w:rsidRPr="00E34CB7">
        <w:t>Assessment Requirements for MEM21011 Service calendar and other dial indication mechanisms for watches</w:t>
      </w:r>
    </w:p>
    <w:p w:rsidR="00000000" w:rsidRPr="00E34CB7" w:rsidP="00E34CB7">
      <w:pPr>
        <w:pStyle w:val="Heading1"/>
      </w:pPr>
      <w:bookmarkStart w:id="10" w:name="O_951308"/>
      <w:bookmarkEnd w:id="10"/>
      <w:r w:rsidRPr="00E34CB7">
        <w:t>Modification History</w:t>
      </w:r>
    </w:p>
    <w:p w:rsidR="00000000" w:rsidRPr="00E34CB7" w:rsidP="00A452CA">
      <w:pPr>
        <w:pStyle w:val="BodyText"/>
      </w:pPr>
      <w:r w:rsidRPr="00E34CB7">
        <w:t xml:space="preserve">Release 1. Supersedes and is equivalent to MEM21011A Service calendar and other dial indication mechanisms for watches </w:t>
      </w:r>
    </w:p>
    <w:p w:rsidR="00000000" w:rsidRPr="00E34CB7" w:rsidP="00E34CB7">
      <w:pPr>
        <w:pStyle w:val="Heading1"/>
      </w:pPr>
      <w:bookmarkStart w:id="11" w:name="O_951311"/>
      <w:bookmarkEnd w:id="11"/>
      <w:r w:rsidRPr="00E34CB7">
        <w:t>Performance Evidence</w:t>
      </w:r>
    </w:p>
    <w:p w:rsidR="00000000" w:rsidRPr="00E34CB7" w:rsidP="00A452CA">
      <w:pPr>
        <w:pStyle w:val="BodyText"/>
      </w:pPr>
      <w:r w:rsidRPr="00E34CB7">
        <w:t>Evidence required to demonstrate competence in this unit must be relevant to and satisfy the requi</w:t>
      </w:r>
      <w:r w:rsidRPr="00E34CB7">
        <w:t>rements of the elements and performance criteria on at least two (2) occasions and include:</w:t>
      </w:r>
    </w:p>
    <w:p w:rsidR="00000000" w:rsidRPr="00E34CB7" w:rsidP="00E34CB7">
      <w:pPr>
        <w:pStyle w:val="ListBullet"/>
      </w:pPr>
      <w:r w:rsidRPr="00E34CB7">
        <w:t xml:space="preserve">following work instructions, standard operating procedures (SOPs) and safe work practices </w:t>
      </w:r>
    </w:p>
    <w:p w:rsidR="00000000" w:rsidRPr="00E34CB7" w:rsidP="00E34CB7">
      <w:pPr>
        <w:pStyle w:val="ListBullet"/>
      </w:pPr>
      <w:r w:rsidRPr="00E34CB7">
        <w:t>liaising with customer, verifying condition and performance, and identif</w:t>
      </w:r>
      <w:r w:rsidRPr="00E34CB7">
        <w:t xml:space="preserve">ying repair costs </w:t>
      </w:r>
    </w:p>
    <w:p w:rsidR="00000000" w:rsidRPr="00E34CB7" w:rsidP="00E34CB7">
      <w:pPr>
        <w:pStyle w:val="ListBullet"/>
      </w:pPr>
      <w:r w:rsidRPr="00E34CB7">
        <w:t xml:space="preserve">dismantling, reassembling and lubricating calendar mechanisms using appropriate workshop tools and equipment </w:t>
      </w:r>
    </w:p>
    <w:p w:rsidR="00000000" w:rsidRPr="00E34CB7" w:rsidP="00E34CB7">
      <w:pPr>
        <w:pStyle w:val="ListBullet"/>
      </w:pPr>
      <w:r w:rsidRPr="00E34CB7">
        <w:t>servicing and fault finding and addressing faults in calendar watches and ensuring correct fitting and functions</w:t>
      </w:r>
    </w:p>
    <w:p w:rsidR="00000000" w:rsidRPr="00E34CB7" w:rsidP="00E34CB7">
      <w:pPr>
        <w:pStyle w:val="ListBullet"/>
      </w:pPr>
      <w:r w:rsidRPr="00E34CB7">
        <w:t>performing ins</w:t>
      </w:r>
      <w:r w:rsidRPr="00E34CB7">
        <w:t>pection and adjustment of calendar change mechanism</w:t>
      </w:r>
    </w:p>
    <w:p w:rsidR="00000000" w:rsidRPr="00E34CB7" w:rsidP="00E34CB7">
      <w:pPr>
        <w:pStyle w:val="ListBullet"/>
      </w:pPr>
      <w:r w:rsidRPr="00E34CB7">
        <w:t>applying correct amount and type of lubrication in accordance with manufacturer’s specifications</w:t>
      </w:r>
    </w:p>
    <w:p w:rsidR="00000000" w:rsidRPr="00E34CB7" w:rsidP="00E34CB7">
      <w:pPr>
        <w:pStyle w:val="ListBullet"/>
      </w:pPr>
      <w:r w:rsidRPr="00E34CB7">
        <w:t>synchronising dial indications with calendar change mechanism</w:t>
      </w:r>
    </w:p>
    <w:p w:rsidR="00000000" w:rsidRPr="00E34CB7" w:rsidP="00E34CB7">
      <w:pPr>
        <w:pStyle w:val="ListBullet"/>
      </w:pPr>
      <w:r w:rsidRPr="00E34CB7">
        <w:t>recording and documenting repairs.</w:t>
      </w:r>
    </w:p>
    <w:p w:rsidR="00000000" w:rsidRPr="00E34CB7" w:rsidP="00E34CB7">
      <w:pPr>
        <w:pStyle w:val="AllowPageBreak"/>
      </w:pPr>
    </w:p>
    <w:p w:rsidR="00000000" w:rsidRPr="00E34CB7" w:rsidP="00E34CB7">
      <w:pPr>
        <w:pStyle w:val="Heading1"/>
      </w:pPr>
      <w:bookmarkStart w:id="12" w:name="O_951310"/>
      <w:bookmarkEnd w:id="12"/>
      <w:r w:rsidRPr="00E34CB7">
        <w:t>Knowledge Evidence</w:t>
      </w:r>
    </w:p>
    <w:p w:rsidR="00000000" w:rsidRPr="00E34CB7" w:rsidP="00A452CA">
      <w:pPr>
        <w:pStyle w:val="BodyText"/>
      </w:pPr>
      <w:r w:rsidRPr="00E34CB7">
        <w:t>Evidence required to demonstrate the required knowledge for this unit must be relevant to and satisfy the requirements of the elements and performance criteria and include knowledge of:</w:t>
      </w:r>
    </w:p>
    <w:p w:rsidR="00000000" w:rsidRPr="00E34CB7" w:rsidP="00E34CB7">
      <w:pPr>
        <w:pStyle w:val="ListBullet"/>
      </w:pPr>
      <w:r w:rsidRPr="00E34CB7">
        <w:t xml:space="preserve">safe work practices and procedures and use </w:t>
      </w:r>
      <w:r w:rsidRPr="00E34CB7">
        <w:t>of personal protective equipment (PPE)</w:t>
      </w:r>
    </w:p>
    <w:p w:rsidR="00000000" w:rsidRPr="00E34CB7" w:rsidP="00E34CB7">
      <w:pPr>
        <w:pStyle w:val="ListBullet"/>
      </w:pPr>
      <w:r w:rsidRPr="00E34CB7">
        <w:t>types of calendar watches</w:t>
      </w:r>
    </w:p>
    <w:p w:rsidR="00000000" w:rsidRPr="00E34CB7" w:rsidP="00E34CB7">
      <w:pPr>
        <w:pStyle w:val="ListBullet"/>
      </w:pPr>
      <w:r w:rsidRPr="00E34CB7">
        <w:t>types of calendar drive mechanism operation</w:t>
      </w:r>
    </w:p>
    <w:p w:rsidR="00000000" w:rsidRPr="00E34CB7" w:rsidP="00E34CB7">
      <w:pPr>
        <w:pStyle w:val="ListBullet"/>
      </w:pPr>
      <w:r w:rsidRPr="00E34CB7">
        <w:t>power reserve indicator construction and operation</w:t>
      </w:r>
    </w:p>
    <w:p w:rsidR="00000000" w:rsidRPr="00E34CB7" w:rsidP="00E34CB7">
      <w:pPr>
        <w:pStyle w:val="ListBullet"/>
      </w:pPr>
      <w:r w:rsidRPr="00E34CB7">
        <w:t>calendar/dial indications component part names</w:t>
      </w:r>
    </w:p>
    <w:p w:rsidR="00000000" w:rsidRPr="00E34CB7" w:rsidP="00E34CB7">
      <w:pPr>
        <w:pStyle w:val="ListBullet"/>
      </w:pPr>
      <w:r w:rsidRPr="00E34CB7">
        <w:t>repair/</w:t>
      </w:r>
      <w:r w:rsidRPr="00E34CB7">
        <w:t xml:space="preserve">replacement options for calendar and dial indication mechanisms </w:t>
      </w:r>
    </w:p>
    <w:p w:rsidR="00000000" w:rsidRPr="00E34CB7" w:rsidP="00E34CB7">
      <w:pPr>
        <w:pStyle w:val="ListBullet"/>
      </w:pPr>
      <w:r w:rsidRPr="00E34CB7">
        <w:t>lubrication techniques for calendar and dial indication mechanisms</w:t>
      </w:r>
    </w:p>
    <w:p w:rsidR="00000000" w:rsidRPr="00E34CB7" w:rsidP="00E34CB7">
      <w:pPr>
        <w:pStyle w:val="ListBullet"/>
      </w:pPr>
      <w:r w:rsidRPr="00E34CB7">
        <w:t>fault-finding and inspection techniques of calendar and dial indication mechanisms.</w:t>
      </w:r>
    </w:p>
    <w:p w:rsidR="00000000" w:rsidRPr="00E34CB7" w:rsidP="00E34CB7">
      <w:pPr>
        <w:pStyle w:val="AllowPageBreak"/>
      </w:pPr>
    </w:p>
    <w:p w:rsidR="00000000" w:rsidRPr="00E34CB7" w:rsidP="00E34CB7">
      <w:pPr>
        <w:pStyle w:val="Heading1"/>
      </w:pPr>
      <w:bookmarkStart w:id="13" w:name="O_951309"/>
      <w:bookmarkEnd w:id="13"/>
      <w:r w:rsidRPr="00E34CB7">
        <w:t>Assessment Conditions</w:t>
      </w:r>
    </w:p>
    <w:p w:rsidR="00000000" w:rsidRPr="00E34CB7" w:rsidP="00E34CB7">
      <w:pPr>
        <w:pStyle w:val="ListBullet"/>
      </w:pPr>
      <w:r w:rsidRPr="00E34CB7">
        <w:t>Assessors must:</w:t>
      </w:r>
    </w:p>
    <w:p w:rsidR="00000000" w:rsidRPr="00E34CB7" w:rsidP="00E34CB7">
      <w:pPr>
        <w:pStyle w:val="ListBullet2"/>
      </w:pPr>
      <w:r w:rsidRPr="00E34CB7">
        <w:t>have vocational competency in servicing calendar and other dial indication mechanisms for watches at least to the level being assessed with relevant industry knowledge and experience</w:t>
      </w:r>
    </w:p>
    <w:p w:rsidR="00000000" w:rsidRPr="00E34CB7" w:rsidP="00E34CB7">
      <w:pPr>
        <w:pStyle w:val="ListBullet2"/>
      </w:pPr>
      <w:r w:rsidRPr="00E34CB7">
        <w:t xml:space="preserve">satisfy the assessor requirements in the </w:t>
      </w:r>
      <w:r w:rsidRPr="00E34CB7">
        <w:rPr>
          <w:rStyle w:val="Emphasis"/>
        </w:rPr>
        <w:t>Standards for R</w:t>
      </w:r>
      <w:r w:rsidRPr="00E34CB7">
        <w:rPr>
          <w:rStyle w:val="Emphasis"/>
        </w:rPr>
        <w:t xml:space="preserve">egistered Training Organisations 2015 </w:t>
      </w:r>
      <w:r w:rsidRPr="00E34CB7">
        <w:t>or its replacement</w:t>
      </w:r>
      <w:r w:rsidRPr="00E34CB7">
        <w:rPr>
          <w:rStyle w:val="Emphasis"/>
        </w:rPr>
        <w:t xml:space="preserve"> </w:t>
      </w:r>
      <w:r w:rsidRPr="00E34CB7">
        <w:t xml:space="preserve">and comply with the </w:t>
      </w:r>
      <w:r w:rsidRPr="00E34CB7">
        <w:rPr>
          <w:rStyle w:val="Emphasis"/>
        </w:rPr>
        <w:t xml:space="preserve">National Vocational Education and Training Regulator Act 2011, </w:t>
      </w:r>
      <w:r w:rsidRPr="00E34CB7">
        <w:t>its replacement</w:t>
      </w:r>
      <w:r w:rsidRPr="00E34CB7">
        <w:rPr>
          <w:rStyle w:val="Emphasis"/>
        </w:rPr>
        <w:t xml:space="preserve"> </w:t>
      </w:r>
      <w:r w:rsidRPr="00E34CB7">
        <w:t>or equivalent legislation covering VET regulation in a non-referring state/territory as the case req</w:t>
      </w:r>
      <w:r w:rsidRPr="00E34CB7">
        <w:t>uires</w:t>
      </w:r>
    </w:p>
    <w:p w:rsidR="00000000" w:rsidRPr="00E34CB7" w:rsidP="00E34CB7">
      <w:pPr>
        <w:pStyle w:val="ListBullet"/>
      </w:pPr>
      <w:r w:rsidRPr="00E34CB7">
        <w:t xml:space="preserve">Where possible assessment must occur in operational workplace situations. Where this is not possible or </w:t>
      </w:r>
      <w:r w:rsidRPr="00E34CB7">
        <w:t>where personal safety or environmental damage are limiting factors, assessment must occur in a sufficiently rigorous simulated environment that r</w:t>
      </w:r>
      <w:r w:rsidRPr="00E34CB7">
        <w:t>eflects realistic operational workplace conditions. This must cover all aspects of workplace performance, including environment, task skills, task management skills, contingency management skills and job role environment skills</w:t>
      </w:r>
    </w:p>
    <w:p w:rsidR="00000000" w:rsidRPr="00E34CB7" w:rsidP="00E34CB7">
      <w:pPr>
        <w:pStyle w:val="ListBullet"/>
      </w:pPr>
      <w:r w:rsidRPr="00E34CB7">
        <w:t>Conditions for assessment must include access to all tools, equipment, materials and documentation required, including relevant workplace procedures, product and manufacturing specifications</w:t>
      </w:r>
    </w:p>
    <w:p w:rsidR="00000000" w:rsidRPr="00E34CB7" w:rsidP="00E34CB7">
      <w:pPr>
        <w:pStyle w:val="ListBullet"/>
      </w:pPr>
      <w:r w:rsidRPr="00E34CB7">
        <w:t>Assessment processes and techniques must be appropriate to the la</w:t>
      </w:r>
      <w:r w:rsidRPr="00E34CB7">
        <w:t>nguage, literacy and numeracy requirements of the work being performed and the needs of the candidate.</w:t>
      </w:r>
    </w:p>
    <w:p w:rsidR="00000000" w:rsidRPr="00E34CB7" w:rsidP="00E34CB7">
      <w:pPr>
        <w:pStyle w:val="AllowPageBreak"/>
      </w:pPr>
    </w:p>
    <w:p w:rsidR="00000000" w:rsidRPr="00E34CB7" w:rsidP="00E34CB7">
      <w:pPr>
        <w:pStyle w:val="Heading1"/>
      </w:pPr>
      <w:bookmarkStart w:id="14" w:name="O_951307"/>
      <w:bookmarkEnd w:id="14"/>
      <w:r w:rsidRPr="00E34CB7">
        <w:t>Links</w:t>
      </w:r>
    </w:p>
    <w:p w:rsidR="00000000" w:rsidRPr="00E34CB7" w:rsidP="00A452CA">
      <w:pPr>
        <w:pStyle w:val="BodyText"/>
      </w:pPr>
      <w:r w:rsidRPr="00E34CB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4047B">
        <w:rPr>
          <w:rStyle w:val="Hyperlink"/>
        </w:rPr>
        <w:t>https://vetnet.gov.au/Pages/TrainingDocs.aspx?q=b7050d37-5fd0-4740-8f7d-3b7a49c10bb2</w:t>
      </w:r>
      <w:r>
        <w:fldChar w:fldCharType="end"/>
      </w:r>
    </w:p>
    <w:p w:rsidR="00000000" w:rsidRPr="00E34CB7" w:rsidP="00E34CB7"/>
    <w:sectPr w:rsidSect="00E34C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B7" w:rsidRPr="00A452CA" w:rsidP="00A452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CA" w:rsidP="00E34C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52CA" w:rsidP="00E34C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452CA" w:rsidP="00E34C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B7" w:rsidP="00E34CB7">
    <w:pPr>
      <w:pStyle w:val="Footer"/>
      <w:framePr w:wrap="around"/>
    </w:pPr>
    <w:r>
      <w:fldChar w:fldCharType="begin"/>
    </w:r>
    <w:r>
      <w:instrText xml:space="preserve"> DOCPROPERTY  Subject  \* MERGEFORMAT </w:instrText>
    </w:r>
    <w:r>
      <w:fldChar w:fldCharType="separate"/>
    </w:r>
    <w:r w:rsidR="00A452CA">
      <w:t>Approved</w:t>
    </w:r>
    <w:r w:rsidR="00A452CA">
      <w:fldChar w:fldCharType="end"/>
    </w:r>
    <w:r>
      <w:tab/>
      <w:t xml:space="preserve">Page </w:t>
    </w:r>
    <w:r>
      <w:fldChar w:fldCharType="begin"/>
    </w:r>
    <w:r>
      <w:instrText xml:space="preserve"> PAGE  \* Arabic  \* MERGEFORMAT </w:instrText>
    </w:r>
    <w:r>
      <w:fldChar w:fldCharType="separate"/>
    </w:r>
    <w:r w:rsidR="00A452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52CA">
      <w:rPr>
        <w:noProof/>
      </w:rPr>
      <w:t>5</w:t>
    </w:r>
    <w:r>
      <w:rPr>
        <w:noProof/>
      </w:rPr>
      <w:fldChar w:fldCharType="end"/>
    </w:r>
  </w:p>
  <w:p w:rsidR="00E34CB7" w:rsidP="00E34CB7">
    <w:pPr>
      <w:pStyle w:val="Footer"/>
      <w:framePr w:wrap="around"/>
    </w:pPr>
    <w:r>
      <w:t xml:space="preserve">© Commonwealth of Australia, </w:t>
    </w:r>
    <w:r>
      <w:fldChar w:fldCharType="begin"/>
    </w:r>
    <w:r>
      <w:instrText xml:space="preserve"> DATE  \@ "yyyy"  \* MERGEFORMAT </w:instrText>
    </w:r>
    <w:r>
      <w:fldChar w:fldCharType="separate"/>
    </w:r>
    <w:r w:rsidR="00A452CA">
      <w:rPr>
        <w:noProof/>
      </w:rPr>
      <w:t>2025</w:t>
    </w:r>
    <w:r>
      <w:fldChar w:fldCharType="end"/>
    </w:r>
    <w:r>
      <w:tab/>
    </w:r>
    <w:r>
      <w:fldChar w:fldCharType="begin"/>
    </w:r>
    <w:r>
      <w:instrText xml:space="preserve"> DOCPROPERTY  Author  \* MERGEFORMAT </w:instrText>
    </w:r>
    <w:r>
      <w:fldChar w:fldCharType="separate"/>
    </w:r>
    <w:r w:rsidR="00A452CA">
      <w:t>Manufacturing Industry Skills Alliance</w:t>
    </w:r>
    <w:r w:rsidR="00A452CA">
      <w:fldChar w:fldCharType="end"/>
    </w:r>
  </w:p>
  <w:p w:rsidR="00E34CB7" w:rsidP="00E34C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CB7" w:rsidRPr="00A452CA" w:rsidP="00A452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CA" w:rsidRPr="002D2AF8" w:rsidP="00E34CB7">
    <w:pPr>
      <w:pStyle w:val="Header"/>
      <w:framePr w:wrap="around"/>
    </w:pPr>
    <w:r>
      <w:fldChar w:fldCharType="begin"/>
    </w:r>
    <w:r>
      <w:instrText xml:space="preserve"> TITLE   \* MERGEFORMAT </w:instrText>
    </w:r>
    <w:r>
      <w:fldChar w:fldCharType="separate"/>
    </w:r>
    <w:r>
      <w:t>MEM21011 Service calendar and other dial indication mechanisms for watches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52CA" w:rsidP="00E34C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B7" w:rsidRPr="002D2AF8" w:rsidP="00E34CB7">
    <w:pPr>
      <w:pStyle w:val="Header"/>
      <w:framePr w:wrap="around"/>
    </w:pPr>
    <w:r>
      <w:fldChar w:fldCharType="begin"/>
    </w:r>
    <w:r>
      <w:instrText xml:space="preserve"> TITLE   \* MERGEFORMAT </w:instrText>
    </w:r>
    <w:r>
      <w:fldChar w:fldCharType="separate"/>
    </w:r>
    <w:r w:rsidR="00A452CA">
      <w:t>MEM21011 Service calendar and other dial indication mechanisms for watches</w:t>
    </w:r>
    <w:r w:rsidR="00A452CA">
      <w:fldChar w:fldCharType="end"/>
    </w:r>
    <w:r>
      <w:tab/>
      <w:t xml:space="preserve">Date this document was generated: </w:t>
    </w:r>
    <w:r>
      <w:fldChar w:fldCharType="begin"/>
    </w:r>
    <w:r>
      <w:instrText xml:space="preserve"> CREATEDATE  \@ "d MMMM yyyy"  \* MERGEFORMAT </w:instrText>
    </w:r>
    <w:r>
      <w:fldChar w:fldCharType="separate"/>
    </w:r>
    <w:r w:rsidR="00A452CA">
      <w:rPr>
        <w:noProof/>
      </w:rPr>
      <w:t>2 March 2025</w:t>
    </w:r>
    <w:r>
      <w:fldChar w:fldCharType="end"/>
    </w:r>
  </w:p>
  <w:p w:rsidR="00E34CB7" w:rsidP="00E34C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0A4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FA8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66C1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C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CB7"/>
    <w:pPr>
      <w:spacing w:before="360" w:after="60"/>
      <w:outlineLvl w:val="0"/>
    </w:pPr>
    <w:rPr>
      <w:sz w:val="32"/>
    </w:rPr>
  </w:style>
  <w:style w:type="paragraph" w:styleId="Heading2">
    <w:name w:val="heading 2"/>
    <w:basedOn w:val="HeadingBase"/>
    <w:next w:val="BodyText"/>
    <w:link w:val="Heading2Char"/>
    <w:qFormat/>
    <w:rsid w:val="00E34CB7"/>
    <w:pPr>
      <w:keepLines/>
      <w:spacing w:before="240" w:after="120"/>
      <w:outlineLvl w:val="1"/>
    </w:pPr>
    <w:rPr>
      <w:sz w:val="28"/>
      <w:szCs w:val="40"/>
    </w:rPr>
  </w:style>
  <w:style w:type="paragraph" w:styleId="Heading3">
    <w:name w:val="heading 3"/>
    <w:basedOn w:val="HeadingBase"/>
    <w:next w:val="BodyText"/>
    <w:link w:val="Heading3Char"/>
    <w:qFormat/>
    <w:rsid w:val="00E34CB7"/>
    <w:pPr>
      <w:spacing w:before="180" w:after="120"/>
      <w:outlineLvl w:val="2"/>
    </w:pPr>
    <w:rPr>
      <w:spacing w:val="-10"/>
      <w:kern w:val="32"/>
    </w:rPr>
  </w:style>
  <w:style w:type="paragraph" w:styleId="Heading4">
    <w:name w:val="heading 4"/>
    <w:basedOn w:val="HeadingBase"/>
    <w:next w:val="BodyText"/>
    <w:link w:val="Heading4Char"/>
    <w:qFormat/>
    <w:rsid w:val="00E34CB7"/>
    <w:pPr>
      <w:spacing w:before="160" w:after="120"/>
      <w:outlineLvl w:val="3"/>
    </w:pPr>
    <w:rPr>
      <w:sz w:val="22"/>
    </w:rPr>
  </w:style>
  <w:style w:type="paragraph" w:styleId="Heading5">
    <w:name w:val="heading 5"/>
    <w:basedOn w:val="HeadingBase"/>
    <w:next w:val="Normal"/>
    <w:link w:val="Heading5Char"/>
    <w:qFormat/>
    <w:rsid w:val="00E34CB7"/>
    <w:pPr>
      <w:spacing w:before="80"/>
      <w:outlineLvl w:val="4"/>
    </w:pPr>
    <w:rPr>
      <w:color w:val="918585"/>
      <w:sz w:val="20"/>
    </w:rPr>
  </w:style>
  <w:style w:type="paragraph" w:styleId="Heading6">
    <w:name w:val="heading 6"/>
    <w:basedOn w:val="HeadingBase"/>
    <w:next w:val="Normal"/>
    <w:link w:val="Heading6Char"/>
    <w:qFormat/>
    <w:rsid w:val="00E34CB7"/>
    <w:pPr>
      <w:spacing w:before="60"/>
      <w:outlineLvl w:val="5"/>
    </w:pPr>
    <w:rPr>
      <w:color w:val="918585"/>
      <w:sz w:val="20"/>
    </w:rPr>
  </w:style>
  <w:style w:type="paragraph" w:styleId="Heading7">
    <w:name w:val="heading 7"/>
    <w:basedOn w:val="Normal"/>
    <w:next w:val="Normal"/>
    <w:link w:val="Heading7Char"/>
    <w:qFormat/>
    <w:rsid w:val="00E34CB7"/>
    <w:pPr>
      <w:ind w:left="720"/>
      <w:outlineLvl w:val="6"/>
    </w:pPr>
    <w:rPr>
      <w:i/>
    </w:rPr>
  </w:style>
  <w:style w:type="paragraph" w:styleId="Heading8">
    <w:name w:val="heading 8"/>
    <w:basedOn w:val="Normal"/>
    <w:next w:val="Normal"/>
    <w:link w:val="Heading8Char"/>
    <w:qFormat/>
    <w:rsid w:val="00E34CB7"/>
    <w:pPr>
      <w:ind w:left="720"/>
      <w:outlineLvl w:val="7"/>
    </w:pPr>
    <w:rPr>
      <w:i/>
    </w:rPr>
  </w:style>
  <w:style w:type="paragraph" w:styleId="Heading9">
    <w:name w:val="heading 9"/>
    <w:basedOn w:val="Normal"/>
    <w:next w:val="Normal"/>
    <w:link w:val="Heading9Char"/>
    <w:qFormat/>
    <w:rsid w:val="00E34CB7"/>
    <w:pPr>
      <w:ind w:left="720"/>
      <w:outlineLvl w:val="8"/>
    </w:pPr>
    <w:rPr>
      <w:i/>
    </w:rPr>
  </w:style>
  <w:style w:type="character" w:default="1" w:styleId="DefaultParagraphFont">
    <w:name w:val="Default Paragraph Font"/>
    <w:uiPriority w:val="1"/>
    <w:unhideWhenUsed/>
    <w:rsid w:val="00E34C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CB7"/>
  </w:style>
  <w:style w:type="character" w:customStyle="1" w:styleId="Heading1Char">
    <w:name w:val="Heading 1 Char"/>
    <w:basedOn w:val="DefaultParagraphFont"/>
    <w:link w:val="Heading1"/>
    <w:rsid w:val="00E34CB7"/>
    <w:rPr>
      <w:rFonts w:ascii="Times New Roman" w:eastAsia="Times New Roman" w:hAnsi="Times New Roman" w:cs="Times New Roman"/>
      <w:b/>
      <w:sz w:val="32"/>
      <w:szCs w:val="20"/>
      <w:lang w:eastAsia="en-US"/>
    </w:rPr>
  </w:style>
  <w:style w:type="paragraph" w:styleId="BodyText">
    <w:name w:val="Body Text"/>
    <w:basedOn w:val="Normal"/>
    <w:link w:val="BodyTextChar"/>
    <w:rsid w:val="00E34C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CB7"/>
    <w:rPr>
      <w:rFonts w:ascii="Times New Roman" w:eastAsia="Times New Roman" w:hAnsi="Times New Roman" w:cs="Times New Roman"/>
      <w:sz w:val="24"/>
      <w:lang w:eastAsia="en-US"/>
    </w:rPr>
  </w:style>
  <w:style w:type="paragraph" w:styleId="ListBullet">
    <w:name w:val="List Bullet"/>
    <w:basedOn w:val="List"/>
    <w:rsid w:val="00E34CB7"/>
    <w:pPr>
      <w:numPr>
        <w:numId w:val="12"/>
      </w:numPr>
      <w:tabs>
        <w:tab w:val="clear" w:pos="340"/>
      </w:tabs>
      <w:spacing w:before="40" w:after="40"/>
    </w:pPr>
  </w:style>
  <w:style w:type="character" w:customStyle="1" w:styleId="SpecialBold">
    <w:name w:val="Special Bold"/>
    <w:basedOn w:val="DefaultParagraphFont"/>
    <w:rsid w:val="00E34CB7"/>
    <w:rPr>
      <w:b/>
      <w:spacing w:val="0"/>
    </w:rPr>
  </w:style>
  <w:style w:type="paragraph" w:styleId="ListBullet2">
    <w:name w:val="List Bullet 2"/>
    <w:basedOn w:val="List2"/>
    <w:rsid w:val="00E34CB7"/>
    <w:pPr>
      <w:numPr>
        <w:numId w:val="13"/>
      </w:numPr>
      <w:tabs>
        <w:tab w:val="clear" w:pos="680"/>
      </w:tabs>
    </w:pPr>
  </w:style>
  <w:style w:type="character" w:styleId="Emphasis">
    <w:name w:val="Emphasis"/>
    <w:basedOn w:val="DefaultParagraphFont"/>
    <w:qFormat/>
    <w:rsid w:val="00E34CB7"/>
    <w:rPr>
      <w:i/>
    </w:rPr>
  </w:style>
  <w:style w:type="paragraph" w:customStyle="1" w:styleId="SuperHeading">
    <w:name w:val="SuperHeading"/>
    <w:basedOn w:val="Normal"/>
    <w:rsid w:val="00E34CB7"/>
    <w:pPr>
      <w:spacing w:before="240" w:after="120"/>
      <w:outlineLvl w:val="0"/>
    </w:pPr>
    <w:rPr>
      <w:rFonts w:ascii="Times New Roman" w:hAnsi="Times New Roman"/>
      <w:b/>
      <w:sz w:val="32"/>
    </w:rPr>
  </w:style>
  <w:style w:type="paragraph" w:customStyle="1" w:styleId="AllowPageBreak">
    <w:name w:val="AllowPageBreak"/>
    <w:rsid w:val="00E34C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C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C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C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C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C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C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C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CB7"/>
    <w:rPr>
      <w:rFonts w:ascii="Courier New" w:eastAsia="Times New Roman" w:hAnsi="Courier New" w:cs="Times New Roman"/>
      <w:i/>
      <w:szCs w:val="20"/>
      <w:lang w:eastAsia="en-US"/>
    </w:rPr>
  </w:style>
  <w:style w:type="paragraph" w:customStyle="1" w:styleId="HeadingBase">
    <w:name w:val="Heading Base"/>
    <w:rsid w:val="00E34C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CB7"/>
    <w:pPr>
      <w:tabs>
        <w:tab w:val="right" w:leader="dot" w:pos="9072"/>
      </w:tabs>
      <w:ind w:left="567"/>
    </w:pPr>
    <w:rPr>
      <w:szCs w:val="22"/>
    </w:rPr>
  </w:style>
  <w:style w:type="paragraph" w:customStyle="1" w:styleId="TOCBase">
    <w:name w:val="TOC Base"/>
    <w:rsid w:val="00E34C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CB7"/>
    <w:pPr>
      <w:tabs>
        <w:tab w:val="right" w:leader="dot" w:pos="9072"/>
      </w:tabs>
      <w:spacing w:before="40" w:after="40"/>
      <w:ind w:left="284"/>
    </w:pPr>
    <w:rPr>
      <w:rFonts w:ascii="Times New Roman" w:hAnsi="Times New Roman"/>
    </w:rPr>
  </w:style>
  <w:style w:type="paragraph" w:styleId="TOC1">
    <w:name w:val="toc 1"/>
    <w:basedOn w:val="TOCBase"/>
    <w:next w:val="Normal"/>
    <w:rsid w:val="00E34C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C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CB7"/>
    <w:rPr>
      <w:rFonts w:ascii="Times New Roman" w:eastAsia="Times New Roman" w:hAnsi="Times New Roman" w:cs="Times New Roman"/>
      <w:sz w:val="16"/>
      <w:lang w:eastAsia="en-US"/>
    </w:rPr>
  </w:style>
  <w:style w:type="paragraph" w:styleId="Title">
    <w:name w:val="Title"/>
    <w:basedOn w:val="HeadingBase"/>
    <w:link w:val="TitleChar"/>
    <w:qFormat/>
    <w:rsid w:val="00E34CB7"/>
    <w:pPr>
      <w:spacing w:before="5040"/>
      <w:jc w:val="center"/>
    </w:pPr>
    <w:rPr>
      <w:sz w:val="48"/>
      <w:szCs w:val="72"/>
      <w:lang w:val="en-US"/>
    </w:rPr>
  </w:style>
  <w:style w:type="character" w:customStyle="1" w:styleId="TitleChar">
    <w:name w:val="Title Char"/>
    <w:basedOn w:val="DefaultParagraphFont"/>
    <w:link w:val="Title"/>
    <w:rsid w:val="00E34C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CB7"/>
    <w:pPr>
      <w:tabs>
        <w:tab w:val="left" w:pos="3600"/>
        <w:tab w:val="left" w:pos="3958"/>
      </w:tabs>
    </w:pPr>
  </w:style>
  <w:style w:type="paragraph" w:styleId="List">
    <w:name w:val="List"/>
    <w:basedOn w:val="BodyText"/>
    <w:next w:val="BodyText"/>
    <w:rsid w:val="00E34CB7"/>
    <w:pPr>
      <w:tabs>
        <w:tab w:val="left" w:pos="340"/>
      </w:tabs>
      <w:spacing w:before="60" w:after="60"/>
      <w:ind w:left="340" w:hanging="340"/>
    </w:pPr>
  </w:style>
  <w:style w:type="paragraph" w:customStyle="1" w:styleId="Note">
    <w:name w:val="Note"/>
    <w:basedOn w:val="BodyText"/>
    <w:rsid w:val="00E34C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CB7"/>
    <w:pPr>
      <w:framePr w:wrap="auto" w:hAnchor="text" w:y="6049"/>
    </w:pPr>
    <w:rPr>
      <w:color w:val="000000"/>
      <w:sz w:val="40"/>
    </w:rPr>
  </w:style>
  <w:style w:type="paragraph" w:customStyle="1" w:styleId="TOCTitle">
    <w:name w:val="TOCTitle"/>
    <w:basedOn w:val="Heading1"/>
    <w:rsid w:val="00E34CB7"/>
    <w:pPr>
      <w:spacing w:after="240"/>
      <w:jc w:val="center"/>
      <w:outlineLvl w:val="9"/>
    </w:pPr>
    <w:rPr>
      <w:caps/>
    </w:rPr>
  </w:style>
  <w:style w:type="paragraph" w:customStyle="1" w:styleId="Version">
    <w:name w:val="Version"/>
    <w:rsid w:val="00E34C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CB7"/>
    <w:pPr>
      <w:keepNext w:val="0"/>
      <w:tabs>
        <w:tab w:val="right" w:pos="4176"/>
      </w:tabs>
      <w:ind w:left="198" w:hanging="198"/>
    </w:pPr>
    <w:rPr>
      <w:rFonts w:ascii="Garamond" w:hAnsi="Garamond"/>
    </w:rPr>
  </w:style>
  <w:style w:type="paragraph" w:styleId="IndexHeading">
    <w:name w:val="index heading"/>
    <w:basedOn w:val="Normal"/>
    <w:next w:val="Index1"/>
    <w:semiHidden/>
    <w:rsid w:val="00E34CB7"/>
    <w:pPr>
      <w:spacing w:before="120" w:after="120"/>
    </w:pPr>
    <w:rPr>
      <w:rFonts w:ascii="Arial" w:hAnsi="Arial"/>
      <w:b/>
      <w:color w:val="918585"/>
      <w:sz w:val="24"/>
    </w:rPr>
  </w:style>
  <w:style w:type="paragraph" w:styleId="Header">
    <w:name w:val="header"/>
    <w:basedOn w:val="Normal"/>
    <w:link w:val="HeaderChar"/>
    <w:rsid w:val="00E34C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CB7"/>
    <w:rPr>
      <w:rFonts w:ascii="Times New Roman" w:eastAsia="Times New Roman" w:hAnsi="Times New Roman" w:cs="Times New Roman"/>
      <w:sz w:val="16"/>
      <w:szCs w:val="20"/>
      <w:lang w:val="en-GB" w:eastAsia="en-US"/>
    </w:rPr>
  </w:style>
  <w:style w:type="paragraph" w:customStyle="1" w:styleId="Chapter">
    <w:name w:val="Chapter"/>
    <w:basedOn w:val="Normal"/>
    <w:rsid w:val="00E34CB7"/>
    <w:pPr>
      <w:spacing w:before="240"/>
    </w:pPr>
    <w:rPr>
      <w:rFonts w:ascii="Times New Roman" w:hAnsi="Times New Roman"/>
      <w:smallCaps/>
      <w:spacing w:val="80"/>
      <w:sz w:val="28"/>
    </w:rPr>
  </w:style>
  <w:style w:type="paragraph" w:customStyle="1" w:styleId="InChapter">
    <w:name w:val="InChapter"/>
    <w:basedOn w:val="Heading3"/>
    <w:rsid w:val="00E34CB7"/>
    <w:pPr>
      <w:spacing w:after="240"/>
      <w:outlineLvl w:val="9"/>
    </w:pPr>
    <w:rPr>
      <w:noProof/>
    </w:rPr>
  </w:style>
  <w:style w:type="paragraph" w:styleId="Index2">
    <w:name w:val="index 2"/>
    <w:basedOn w:val="Normal"/>
    <w:next w:val="Normal"/>
    <w:semiHidden/>
    <w:rsid w:val="00E34CB7"/>
    <w:pPr>
      <w:tabs>
        <w:tab w:val="right" w:pos="4176"/>
      </w:tabs>
      <w:ind w:left="568" w:hanging="284"/>
    </w:pPr>
    <w:rPr>
      <w:rFonts w:ascii="Garamond" w:hAnsi="Garamond"/>
    </w:rPr>
  </w:style>
  <w:style w:type="paragraph" w:customStyle="1" w:styleId="Byline">
    <w:name w:val="Byline"/>
    <w:rsid w:val="00E34C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CB7"/>
    <w:pPr>
      <w:tabs>
        <w:tab w:val="clear" w:pos="3600"/>
        <w:tab w:val="clear" w:pos="3958"/>
      </w:tabs>
      <w:jc w:val="right"/>
    </w:pPr>
  </w:style>
  <w:style w:type="paragraph" w:styleId="Caption">
    <w:name w:val="caption"/>
    <w:basedOn w:val="BodyText"/>
    <w:next w:val="Normal"/>
    <w:qFormat/>
    <w:rsid w:val="00E34CB7"/>
    <w:pPr>
      <w:framePr w:w="2268" w:hSpace="181" w:vSpace="181" w:wrap="around" w:vAnchor="text" w:hAnchor="page" w:x="1135" w:y="285" w:anchorLock="1"/>
    </w:pPr>
    <w:rPr>
      <w:i/>
    </w:rPr>
  </w:style>
  <w:style w:type="paragraph" w:customStyle="1" w:styleId="MiniTOCTitle">
    <w:name w:val="MiniTOCTitle"/>
    <w:basedOn w:val="Heading4"/>
    <w:rsid w:val="00E34CB7"/>
    <w:pPr>
      <w:spacing w:before="240"/>
      <w:outlineLvl w:val="9"/>
    </w:pPr>
    <w:rPr>
      <w:noProof/>
      <w:sz w:val="24"/>
    </w:rPr>
  </w:style>
  <w:style w:type="paragraph" w:customStyle="1" w:styleId="MiniTOCItem">
    <w:name w:val="MiniTOCItem"/>
    <w:basedOn w:val="ListBullet"/>
    <w:rsid w:val="00E34CB7"/>
    <w:pPr>
      <w:numPr>
        <w:numId w:val="0"/>
      </w:numPr>
      <w:tabs>
        <w:tab w:val="right" w:leader="dot" w:pos="6521"/>
      </w:tabs>
      <w:spacing w:before="0" w:after="0"/>
    </w:pPr>
  </w:style>
  <w:style w:type="paragraph" w:customStyle="1" w:styleId="TOFTitle">
    <w:name w:val="TOFTitle"/>
    <w:basedOn w:val="TOCTitle"/>
    <w:rsid w:val="00E34CB7"/>
  </w:style>
  <w:style w:type="paragraph" w:styleId="TableofFigures">
    <w:name w:val="table of figures"/>
    <w:basedOn w:val="Normal"/>
    <w:next w:val="Normal"/>
    <w:semiHidden/>
    <w:rsid w:val="00E34CB7"/>
    <w:pPr>
      <w:tabs>
        <w:tab w:val="right" w:leader="dot" w:pos="9072"/>
      </w:tabs>
      <w:ind w:left="970" w:hanging="403"/>
    </w:pPr>
    <w:rPr>
      <w:rFonts w:ascii="Times New Roman" w:hAnsi="Times New Roman"/>
      <w:b/>
    </w:rPr>
  </w:style>
  <w:style w:type="paragraph" w:styleId="ListNumber">
    <w:name w:val="List Number"/>
    <w:basedOn w:val="List"/>
    <w:rsid w:val="00E34CB7"/>
    <w:pPr>
      <w:numPr>
        <w:numId w:val="15"/>
      </w:numPr>
      <w:tabs>
        <w:tab w:val="clear" w:pos="340"/>
      </w:tabs>
    </w:pPr>
  </w:style>
  <w:style w:type="character" w:customStyle="1" w:styleId="WingdingSymbols">
    <w:name w:val="Wingding Symbols"/>
    <w:rsid w:val="00E34CB7"/>
    <w:rPr>
      <w:rFonts w:ascii="Wingdings" w:hAnsi="Wingdings"/>
    </w:rPr>
  </w:style>
  <w:style w:type="paragraph" w:customStyle="1" w:styleId="TableHeading">
    <w:name w:val="Table Heading"/>
    <w:basedOn w:val="HeadingBase"/>
    <w:rsid w:val="00E34CB7"/>
    <w:pPr>
      <w:keepLines/>
      <w:pBdr>
        <w:bottom w:val="single" w:sz="6" w:space="1" w:color="918585"/>
      </w:pBdr>
      <w:spacing w:before="240"/>
    </w:pPr>
  </w:style>
  <w:style w:type="character" w:customStyle="1" w:styleId="HotSpot">
    <w:name w:val="HotSpot"/>
    <w:rsid w:val="00E34CB7"/>
    <w:rPr>
      <w:color w:val="0033CC"/>
      <w:u w:val="none"/>
    </w:rPr>
  </w:style>
  <w:style w:type="paragraph" w:customStyle="1" w:styleId="BodyTextRight">
    <w:name w:val="Body Text Right"/>
    <w:basedOn w:val="BodyText"/>
    <w:rsid w:val="00E34CB7"/>
    <w:pPr>
      <w:spacing w:before="0" w:after="0"/>
      <w:jc w:val="right"/>
    </w:pPr>
  </w:style>
  <w:style w:type="paragraph" w:styleId="Index3">
    <w:name w:val="index 3"/>
    <w:basedOn w:val="ListNumber2"/>
    <w:next w:val="Normal"/>
    <w:semiHidden/>
    <w:rsid w:val="00E34CB7"/>
    <w:pPr>
      <w:numPr>
        <w:numId w:val="0"/>
      </w:numPr>
      <w:tabs>
        <w:tab w:val="right" w:leader="dot" w:pos="4176"/>
      </w:tabs>
    </w:pPr>
  </w:style>
  <w:style w:type="paragraph" w:styleId="ListNumber2">
    <w:name w:val="List Number 2"/>
    <w:basedOn w:val="List2"/>
    <w:rsid w:val="00E34CB7"/>
    <w:pPr>
      <w:numPr>
        <w:numId w:val="10"/>
      </w:numPr>
      <w:tabs>
        <w:tab w:val="clear" w:pos="1060"/>
      </w:tabs>
    </w:pPr>
  </w:style>
  <w:style w:type="paragraph" w:customStyle="1" w:styleId="MarginNote">
    <w:name w:val="Margin Note"/>
    <w:basedOn w:val="BodyText"/>
    <w:rsid w:val="00E34C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C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C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CB7"/>
    <w:rPr>
      <w:sz w:val="32"/>
    </w:rPr>
  </w:style>
  <w:style w:type="paragraph" w:customStyle="1" w:styleId="HeadingProcedure">
    <w:name w:val="Heading Procedure"/>
    <w:basedOn w:val="HeadingBase"/>
    <w:next w:val="Normal"/>
    <w:rsid w:val="00E34CB7"/>
    <w:pPr>
      <w:tabs>
        <w:tab w:val="left" w:pos="0"/>
      </w:tabs>
      <w:spacing w:before="120" w:after="60"/>
    </w:pPr>
    <w:rPr>
      <w:i/>
      <w:color w:val="918585"/>
      <w:sz w:val="22"/>
    </w:rPr>
  </w:style>
  <w:style w:type="paragraph" w:customStyle="1" w:styleId="TableBodyText">
    <w:name w:val="Table Body Text"/>
    <w:basedOn w:val="BodyText"/>
    <w:rsid w:val="00E34CB7"/>
    <w:pPr>
      <w:spacing w:before="60" w:after="60"/>
    </w:pPr>
  </w:style>
  <w:style w:type="paragraph" w:styleId="ListContinue">
    <w:name w:val="List Continue"/>
    <w:basedOn w:val="List"/>
    <w:rsid w:val="00E34CB7"/>
    <w:pPr>
      <w:ind w:firstLine="0"/>
    </w:pPr>
  </w:style>
  <w:style w:type="paragraph" w:customStyle="1" w:styleId="ListNote">
    <w:name w:val="List Note"/>
    <w:basedOn w:val="List"/>
    <w:rsid w:val="00E34CB7"/>
    <w:pPr>
      <w:pBdr>
        <w:top w:val="single" w:sz="6" w:space="2" w:color="918585"/>
        <w:bottom w:val="single" w:sz="6" w:space="2" w:color="918585"/>
      </w:pBdr>
      <w:tabs>
        <w:tab w:val="left" w:pos="1021"/>
      </w:tabs>
      <w:ind w:firstLine="0"/>
    </w:pPr>
  </w:style>
  <w:style w:type="paragraph" w:customStyle="1" w:styleId="Warning">
    <w:name w:val="Warning"/>
    <w:basedOn w:val="BodyText"/>
    <w:rsid w:val="00E34CB7"/>
    <w:pPr>
      <w:shd w:val="clear" w:color="auto" w:fill="D9D9D9"/>
      <w:tabs>
        <w:tab w:val="left" w:pos="992"/>
      </w:tabs>
      <w:ind w:left="119" w:right="119"/>
    </w:pPr>
    <w:rPr>
      <w:sz w:val="20"/>
    </w:rPr>
  </w:style>
  <w:style w:type="paragraph" w:customStyle="1" w:styleId="MarginIcons">
    <w:name w:val="Margin Icons"/>
    <w:basedOn w:val="BodyText"/>
    <w:rsid w:val="00E34C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CB7"/>
    <w:rPr>
      <w:rFonts w:ascii="Courier New" w:hAnsi="Courier New"/>
    </w:rPr>
  </w:style>
  <w:style w:type="paragraph" w:customStyle="1" w:styleId="NoteBullet">
    <w:name w:val="Note Bullet"/>
    <w:basedOn w:val="Note"/>
    <w:rsid w:val="00E34CB7"/>
    <w:pPr>
      <w:tabs>
        <w:tab w:val="clear" w:pos="680"/>
      </w:tabs>
      <w:spacing w:before="60" w:after="60"/>
    </w:pPr>
  </w:style>
  <w:style w:type="paragraph" w:customStyle="1" w:styleId="SubHeading2">
    <w:name w:val="SubHeading2"/>
    <w:basedOn w:val="HeadingBase"/>
    <w:rsid w:val="00E34CB7"/>
    <w:pPr>
      <w:spacing w:before="240" w:after="60"/>
    </w:pPr>
    <w:rPr>
      <w:sz w:val="20"/>
    </w:rPr>
  </w:style>
  <w:style w:type="paragraph" w:customStyle="1" w:styleId="SubHeading1">
    <w:name w:val="SubHeading1"/>
    <w:basedOn w:val="HeadingBase"/>
    <w:rsid w:val="00E34CB7"/>
    <w:pPr>
      <w:spacing w:before="240" w:after="60"/>
    </w:pPr>
    <w:rPr>
      <w:color w:val="918585"/>
      <w:sz w:val="22"/>
    </w:rPr>
  </w:style>
  <w:style w:type="paragraph" w:customStyle="1" w:styleId="SideHeading">
    <w:name w:val="Side Heading"/>
    <w:basedOn w:val="HeadingBase"/>
    <w:rsid w:val="00E34C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CB7"/>
    <w:pPr>
      <w:tabs>
        <w:tab w:val="num" w:pos="360"/>
      </w:tabs>
    </w:pPr>
  </w:style>
  <w:style w:type="paragraph" w:styleId="PlainText">
    <w:name w:val="Plain Text"/>
    <w:basedOn w:val="Normal"/>
    <w:link w:val="PlainTextChar"/>
    <w:rsid w:val="00E34CB7"/>
    <w:rPr>
      <w:sz w:val="20"/>
    </w:rPr>
  </w:style>
  <w:style w:type="character" w:customStyle="1" w:styleId="PlainTextChar">
    <w:name w:val="Plain Text Char"/>
    <w:basedOn w:val="DefaultParagraphFont"/>
    <w:link w:val="PlainText"/>
    <w:rsid w:val="00E34CB7"/>
    <w:rPr>
      <w:rFonts w:ascii="Courier New" w:eastAsia="Times New Roman" w:hAnsi="Courier New" w:cs="Times New Roman"/>
      <w:sz w:val="20"/>
      <w:szCs w:val="20"/>
      <w:lang w:eastAsia="en-US"/>
    </w:rPr>
  </w:style>
  <w:style w:type="character" w:customStyle="1" w:styleId="MenuOption">
    <w:name w:val="Menu Option"/>
    <w:basedOn w:val="DefaultParagraphFont"/>
    <w:rsid w:val="00E34CB7"/>
    <w:rPr>
      <w:b/>
      <w:smallCaps/>
    </w:rPr>
  </w:style>
  <w:style w:type="paragraph" w:customStyle="1" w:styleId="TableListNumber">
    <w:name w:val="Table List Number"/>
    <w:basedOn w:val="ListNumber"/>
    <w:rsid w:val="00E34CB7"/>
    <w:pPr>
      <w:numPr>
        <w:numId w:val="0"/>
      </w:numPr>
    </w:pPr>
  </w:style>
  <w:style w:type="paragraph" w:styleId="TOC4">
    <w:name w:val="toc 4"/>
    <w:basedOn w:val="TOCBase"/>
    <w:next w:val="Normal"/>
    <w:semiHidden/>
    <w:rsid w:val="00E34CB7"/>
    <w:pPr>
      <w:tabs>
        <w:tab w:val="right" w:leader="dot" w:pos="9071"/>
      </w:tabs>
      <w:ind w:left="1701"/>
    </w:pPr>
  </w:style>
  <w:style w:type="paragraph" w:customStyle="1" w:styleId="ListAlpha">
    <w:name w:val="List Alpha"/>
    <w:basedOn w:val="List"/>
    <w:rsid w:val="00E34CB7"/>
    <w:pPr>
      <w:numPr>
        <w:numId w:val="9"/>
      </w:numPr>
    </w:pPr>
  </w:style>
  <w:style w:type="paragraph" w:customStyle="1" w:styleId="ListAlpha2">
    <w:name w:val="List Alpha 2"/>
    <w:basedOn w:val="List2"/>
    <w:rsid w:val="00E34CB7"/>
    <w:pPr>
      <w:numPr>
        <w:numId w:val="8"/>
      </w:numPr>
    </w:pPr>
  </w:style>
  <w:style w:type="paragraph" w:styleId="List2">
    <w:name w:val="List 2"/>
    <w:basedOn w:val="BodyText"/>
    <w:rsid w:val="00E34CB7"/>
    <w:pPr>
      <w:tabs>
        <w:tab w:val="left" w:pos="680"/>
      </w:tabs>
      <w:spacing w:before="60" w:after="60"/>
      <w:ind w:left="680" w:hanging="340"/>
    </w:pPr>
  </w:style>
  <w:style w:type="paragraph" w:styleId="List3">
    <w:name w:val="List 3"/>
    <w:basedOn w:val="BodyText"/>
    <w:rsid w:val="00E34CB7"/>
    <w:pPr>
      <w:tabs>
        <w:tab w:val="left" w:pos="1021"/>
      </w:tabs>
      <w:spacing w:before="60" w:after="60"/>
      <w:ind w:left="1020" w:hanging="340"/>
    </w:pPr>
  </w:style>
  <w:style w:type="paragraph" w:styleId="List4">
    <w:name w:val="List 4"/>
    <w:basedOn w:val="BodyText"/>
    <w:rsid w:val="00E34CB7"/>
    <w:pPr>
      <w:tabs>
        <w:tab w:val="left" w:pos="1361"/>
      </w:tabs>
      <w:spacing w:before="60" w:after="60"/>
      <w:ind w:left="1361" w:hanging="340"/>
    </w:pPr>
  </w:style>
  <w:style w:type="paragraph" w:styleId="List5">
    <w:name w:val="List 5"/>
    <w:basedOn w:val="BodyText"/>
    <w:rsid w:val="00E34CB7"/>
    <w:pPr>
      <w:tabs>
        <w:tab w:val="left" w:pos="1701"/>
      </w:tabs>
      <w:spacing w:before="60" w:after="60"/>
      <w:ind w:left="1701" w:hanging="340"/>
    </w:pPr>
  </w:style>
  <w:style w:type="paragraph" w:styleId="ListBullet3">
    <w:name w:val="List Bullet 3"/>
    <w:basedOn w:val="List3"/>
    <w:rsid w:val="00E34CB7"/>
    <w:pPr>
      <w:numPr>
        <w:numId w:val="14"/>
      </w:numPr>
      <w:tabs>
        <w:tab w:val="clear" w:pos="1021"/>
      </w:tabs>
      <w:ind w:left="1037" w:hanging="357"/>
    </w:pPr>
  </w:style>
  <w:style w:type="paragraph" w:styleId="ListBullet4">
    <w:name w:val="List Bullet 4"/>
    <w:basedOn w:val="List4"/>
    <w:rsid w:val="00E34CB7"/>
    <w:pPr>
      <w:numPr>
        <w:numId w:val="3"/>
      </w:numPr>
      <w:tabs>
        <w:tab w:val="clear" w:pos="1361"/>
      </w:tabs>
    </w:pPr>
  </w:style>
  <w:style w:type="paragraph" w:styleId="ListBullet5">
    <w:name w:val="List Bullet 5"/>
    <w:basedOn w:val="List5"/>
    <w:rsid w:val="00E34CB7"/>
    <w:pPr>
      <w:numPr>
        <w:numId w:val="4"/>
      </w:numPr>
    </w:pPr>
  </w:style>
  <w:style w:type="paragraph" w:styleId="ListContinue2">
    <w:name w:val="List Continue 2"/>
    <w:basedOn w:val="List2"/>
    <w:rsid w:val="00E34CB7"/>
    <w:pPr>
      <w:ind w:firstLine="0"/>
    </w:pPr>
  </w:style>
  <w:style w:type="paragraph" w:styleId="ListContinue3">
    <w:name w:val="List Continue 3"/>
    <w:basedOn w:val="List3"/>
    <w:rsid w:val="00E34CB7"/>
    <w:pPr>
      <w:ind w:left="1021" w:firstLine="0"/>
    </w:pPr>
  </w:style>
  <w:style w:type="paragraph" w:styleId="ListContinue4">
    <w:name w:val="List Continue 4"/>
    <w:basedOn w:val="List4"/>
    <w:rsid w:val="00E34CB7"/>
    <w:pPr>
      <w:ind w:firstLine="0"/>
    </w:pPr>
  </w:style>
  <w:style w:type="paragraph" w:styleId="ListContinue5">
    <w:name w:val="List Continue 5"/>
    <w:basedOn w:val="List5"/>
    <w:rsid w:val="00E34CB7"/>
    <w:pPr>
      <w:ind w:firstLine="0"/>
    </w:pPr>
  </w:style>
  <w:style w:type="paragraph" w:styleId="ListNumber3">
    <w:name w:val="List Number 3"/>
    <w:basedOn w:val="List3"/>
    <w:rsid w:val="00E34CB7"/>
    <w:pPr>
      <w:numPr>
        <w:numId w:val="5"/>
      </w:numPr>
    </w:pPr>
  </w:style>
  <w:style w:type="paragraph" w:styleId="ListNumber4">
    <w:name w:val="List Number 4"/>
    <w:basedOn w:val="List4"/>
    <w:rsid w:val="00E34CB7"/>
    <w:pPr>
      <w:numPr>
        <w:numId w:val="6"/>
      </w:numPr>
    </w:pPr>
  </w:style>
  <w:style w:type="paragraph" w:styleId="ListNumber5">
    <w:name w:val="List Number 5"/>
    <w:basedOn w:val="List5"/>
    <w:rsid w:val="00E34CB7"/>
    <w:pPr>
      <w:numPr>
        <w:numId w:val="7"/>
      </w:numPr>
    </w:pPr>
  </w:style>
  <w:style w:type="paragraph" w:styleId="BlockText">
    <w:name w:val="Block Text"/>
    <w:basedOn w:val="Normal"/>
    <w:rsid w:val="00E34CB7"/>
    <w:pPr>
      <w:spacing w:after="120"/>
      <w:ind w:left="1440" w:right="1440"/>
    </w:pPr>
  </w:style>
  <w:style w:type="character" w:customStyle="1" w:styleId="Subscript">
    <w:name w:val="Subscript"/>
    <w:basedOn w:val="DefaultParagraphFont"/>
    <w:rsid w:val="00E34CB7"/>
    <w:rPr>
      <w:sz w:val="16"/>
      <w:vertAlign w:val="subscript"/>
    </w:rPr>
  </w:style>
  <w:style w:type="character" w:customStyle="1" w:styleId="Superscript">
    <w:name w:val="Superscript"/>
    <w:basedOn w:val="DefaultParagraphFont"/>
    <w:rsid w:val="00E34CB7"/>
    <w:rPr>
      <w:sz w:val="16"/>
      <w:vertAlign w:val="superscript"/>
    </w:rPr>
  </w:style>
  <w:style w:type="character" w:customStyle="1" w:styleId="Symbols">
    <w:name w:val="Symbols"/>
    <w:basedOn w:val="DefaultParagraphFont"/>
    <w:rsid w:val="00E34CB7"/>
    <w:rPr>
      <w:rFonts w:ascii="Symbol" w:hAnsi="Symbol"/>
    </w:rPr>
  </w:style>
  <w:style w:type="character" w:customStyle="1" w:styleId="MenuOptions">
    <w:name w:val="Menu Options"/>
    <w:basedOn w:val="DefaultParagraphFont"/>
    <w:rsid w:val="00E34CB7"/>
    <w:rPr>
      <w:rFonts w:ascii="Arial Narrow" w:hAnsi="Arial Narrow"/>
      <w:smallCaps/>
    </w:rPr>
  </w:style>
  <w:style w:type="character" w:customStyle="1" w:styleId="Buttons">
    <w:name w:val="Buttons"/>
    <w:basedOn w:val="DefaultParagraphFont"/>
    <w:rsid w:val="00E34CB7"/>
    <w:rPr>
      <w:b/>
    </w:rPr>
  </w:style>
  <w:style w:type="character" w:customStyle="1" w:styleId="Underlined">
    <w:name w:val="Underlined"/>
    <w:basedOn w:val="DefaultParagraphFont"/>
    <w:rsid w:val="00E34CB7"/>
    <w:rPr>
      <w:u w:val="single"/>
    </w:rPr>
  </w:style>
  <w:style w:type="paragraph" w:customStyle="1" w:styleId="TableBodyTextRight">
    <w:name w:val="Table Body Text Right"/>
    <w:basedOn w:val="TableBodyText"/>
    <w:rsid w:val="00E34CB7"/>
    <w:pPr>
      <w:widowControl w:val="0"/>
      <w:autoSpaceDE w:val="0"/>
      <w:autoSpaceDN w:val="0"/>
      <w:adjustRightInd w:val="0"/>
      <w:jc w:val="right"/>
    </w:pPr>
    <w:rPr>
      <w:rFonts w:cs="Arial"/>
      <w:szCs w:val="18"/>
    </w:rPr>
  </w:style>
  <w:style w:type="paragraph" w:customStyle="1" w:styleId="CopyrightText">
    <w:name w:val="Copyright Text"/>
    <w:basedOn w:val="BodyText"/>
    <w:rsid w:val="00E34CB7"/>
    <w:rPr>
      <w:sz w:val="18"/>
    </w:rPr>
  </w:style>
  <w:style w:type="paragraph" w:customStyle="1" w:styleId="BodySmallRight">
    <w:name w:val="Body Small Right"/>
    <w:basedOn w:val="BodyTextRight"/>
    <w:rsid w:val="00E34CB7"/>
    <w:rPr>
      <w:sz w:val="18"/>
      <w:szCs w:val="18"/>
    </w:rPr>
  </w:style>
  <w:style w:type="paragraph" w:customStyle="1" w:styleId="MarginEdition">
    <w:name w:val="Margin Edition"/>
    <w:basedOn w:val="MarginNote"/>
    <w:rsid w:val="00E34CB7"/>
    <w:pPr>
      <w:spacing w:before="0" w:after="0"/>
    </w:pPr>
    <w:rPr>
      <w:rFonts w:ascii="Times New Roman" w:hAnsi="Times New Roman"/>
      <w:color w:val="999999"/>
    </w:rPr>
  </w:style>
  <w:style w:type="paragraph" w:customStyle="1" w:styleId="Spacer">
    <w:name w:val="Spacer"/>
    <w:basedOn w:val="Normal"/>
    <w:rsid w:val="00E34CB7"/>
    <w:rPr>
      <w:sz w:val="2"/>
      <w:szCs w:val="2"/>
    </w:rPr>
  </w:style>
  <w:style w:type="character" w:customStyle="1" w:styleId="Small">
    <w:name w:val="Small"/>
    <w:basedOn w:val="DefaultParagraphFont"/>
    <w:rsid w:val="00E34CB7"/>
    <w:rPr>
      <w:sz w:val="16"/>
    </w:rPr>
  </w:style>
  <w:style w:type="paragraph" w:customStyle="1" w:styleId="WideTable">
    <w:name w:val="Wide Table"/>
    <w:basedOn w:val="Normal"/>
    <w:rsid w:val="00E34CB7"/>
    <w:pPr>
      <w:ind w:left="-1418"/>
    </w:pPr>
    <w:rPr>
      <w:sz w:val="2"/>
      <w:szCs w:val="2"/>
    </w:rPr>
  </w:style>
  <w:style w:type="character" w:styleId="PageNumber">
    <w:name w:val="page number"/>
    <w:basedOn w:val="DefaultParagraphFont"/>
    <w:rsid w:val="00E34CB7"/>
  </w:style>
  <w:style w:type="paragraph" w:styleId="Quote">
    <w:name w:val="Quote"/>
    <w:basedOn w:val="Heading1"/>
    <w:link w:val="QuoteChar"/>
    <w:qFormat/>
    <w:rsid w:val="00E34CB7"/>
    <w:rPr>
      <w:b w:val="0"/>
      <w:sz w:val="72"/>
      <w:szCs w:val="72"/>
      <w:lang w:val="en-NZ"/>
    </w:rPr>
  </w:style>
  <w:style w:type="character" w:customStyle="1" w:styleId="QuoteChar">
    <w:name w:val="Quote Char"/>
    <w:basedOn w:val="DefaultParagraphFont"/>
    <w:link w:val="Quote"/>
    <w:rsid w:val="00E34C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CB7"/>
    <w:pPr>
      <w:pageBreakBefore/>
    </w:pPr>
  </w:style>
  <w:style w:type="paragraph" w:customStyle="1" w:styleId="Border">
    <w:name w:val="Border"/>
    <w:basedOn w:val="Normal"/>
    <w:qFormat/>
    <w:rsid w:val="00E34C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CB7"/>
    <w:rPr>
      <w:b/>
      <w:bCs/>
      <w:i/>
      <w:iCs/>
      <w:color w:val="auto"/>
    </w:rPr>
  </w:style>
  <w:style w:type="paragraph" w:styleId="IntenseQuote">
    <w:name w:val="Intense Quote"/>
    <w:basedOn w:val="Normal"/>
    <w:next w:val="Normal"/>
    <w:link w:val="IntenseQuoteChar"/>
    <w:uiPriority w:val="30"/>
    <w:qFormat/>
    <w:rsid w:val="00E34C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C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CB7"/>
    <w:rPr>
      <w:smallCaps/>
      <w:color w:val="auto"/>
      <w:u w:val="single"/>
    </w:rPr>
  </w:style>
  <w:style w:type="character" w:styleId="IntenseReference">
    <w:name w:val="Intense Reference"/>
    <w:basedOn w:val="DefaultParagraphFont"/>
    <w:uiPriority w:val="32"/>
    <w:qFormat/>
    <w:rsid w:val="00E34CB7"/>
    <w:rPr>
      <w:b/>
      <w:bCs/>
      <w:smallCaps/>
      <w:color w:val="auto"/>
      <w:spacing w:val="5"/>
      <w:u w:val="single"/>
    </w:rPr>
  </w:style>
  <w:style w:type="paragraph" w:customStyle="1" w:styleId="2ColumnHeading">
    <w:name w:val="2Column Heading"/>
    <w:basedOn w:val="BodyText"/>
    <w:qFormat/>
    <w:rsid w:val="00E34CB7"/>
    <w:pPr>
      <w:spacing w:after="60"/>
      <w:ind w:left="-2268"/>
    </w:pPr>
    <w:rPr>
      <w:b/>
    </w:rPr>
  </w:style>
  <w:style w:type="paragraph" w:customStyle="1" w:styleId="Heading1TOC">
    <w:name w:val="Heading1 TOC"/>
    <w:basedOn w:val="Normal"/>
    <w:qFormat/>
    <w:rsid w:val="00E34CB7"/>
    <w:pPr>
      <w:spacing w:before="240" w:after="120"/>
    </w:pPr>
    <w:rPr>
      <w:rFonts w:ascii="Times New Roman" w:hAnsi="Times New Roman"/>
      <w:b/>
      <w:sz w:val="32"/>
    </w:rPr>
  </w:style>
  <w:style w:type="paragraph" w:customStyle="1" w:styleId="Heading2TOC">
    <w:name w:val="Heading2 TOC"/>
    <w:basedOn w:val="Normal"/>
    <w:qFormat/>
    <w:rsid w:val="00E34CB7"/>
    <w:pPr>
      <w:spacing w:before="240" w:after="60"/>
    </w:pPr>
    <w:rPr>
      <w:rFonts w:ascii="Times New Roman" w:hAnsi="Times New Roman"/>
      <w:b/>
      <w:sz w:val="28"/>
    </w:rPr>
  </w:style>
  <w:style w:type="character" w:customStyle="1" w:styleId="Underline">
    <w:name w:val="Underline"/>
    <w:basedOn w:val="DefaultParagraphFont"/>
    <w:qFormat/>
    <w:rsid w:val="00E34CB7"/>
    <w:rPr>
      <w:u w:val="single"/>
    </w:rPr>
  </w:style>
  <w:style w:type="character" w:customStyle="1" w:styleId="BoldandItalics">
    <w:name w:val="Bold and Italics"/>
    <w:qFormat/>
    <w:rsid w:val="00E34CB7"/>
    <w:rPr>
      <w:b/>
      <w:i/>
      <w:u w:val="none"/>
    </w:rPr>
  </w:style>
  <w:style w:type="paragraph" w:styleId="BalloonText">
    <w:name w:val="Balloon Text"/>
    <w:basedOn w:val="Normal"/>
    <w:link w:val="BalloonTextChar"/>
    <w:rsid w:val="00E34CB7"/>
    <w:rPr>
      <w:rFonts w:ascii="Tahoma" w:hAnsi="Tahoma" w:cs="Tahoma"/>
      <w:sz w:val="16"/>
      <w:szCs w:val="16"/>
    </w:rPr>
  </w:style>
  <w:style w:type="character" w:customStyle="1" w:styleId="BalloonTextChar">
    <w:name w:val="Balloon Text Char"/>
    <w:basedOn w:val="DefaultParagraphFont"/>
    <w:link w:val="BalloonText"/>
    <w:rsid w:val="00E34C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C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C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CB7"/>
    <w:rPr>
      <w:b/>
      <w:color w:val="660033"/>
      <w:spacing w:val="0"/>
    </w:rPr>
  </w:style>
  <w:style w:type="paragraph" w:customStyle="1" w:styleId="Nameditemlist">
    <w:name w:val="Named item list"/>
    <w:basedOn w:val="BodyText"/>
    <w:qFormat/>
    <w:rsid w:val="00E34CB7"/>
    <w:pPr>
      <w:tabs>
        <w:tab w:val="left" w:pos="2835"/>
      </w:tabs>
      <w:ind w:left="2835" w:hanging="2835"/>
    </w:pPr>
  </w:style>
  <w:style w:type="paragraph" w:customStyle="1" w:styleId="BodyTextnopadding">
    <w:name w:val="Body Text no padding"/>
    <w:basedOn w:val="BodyText"/>
    <w:qFormat/>
    <w:rsid w:val="00E34CB7"/>
    <w:pPr>
      <w:spacing w:before="0" w:after="0"/>
    </w:pPr>
  </w:style>
  <w:style w:type="paragraph" w:customStyle="1" w:styleId="BodyTextBold">
    <w:name w:val="Body Text Bold"/>
    <w:basedOn w:val="BodyText"/>
    <w:qFormat/>
    <w:rsid w:val="00E34CB7"/>
    <w:rPr>
      <w:b/>
    </w:rPr>
  </w:style>
  <w:style w:type="character" w:styleId="Hyperlink">
    <w:name w:val="Hyperlink"/>
    <w:basedOn w:val="DefaultParagraphFont"/>
    <w:uiPriority w:val="99"/>
    <w:unhideWhenUsed/>
    <w:rsid w:val="00A452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1100</Words>
  <Characters>7206</Characters>
  <Application>Microsoft Office Word</Application>
  <DocSecurity>0</DocSecurity>
  <Lines>288</Lines>
  <Paragraphs>176</Paragraphs>
  <ScaleCrop>false</ScaleCrop>
  <Company>Author-it Software Corporation Ltd.</Company>
  <LinksUpToDate>false</LinksUpToDate>
  <CharactersWithSpaces>8130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MEM21011 Service calendar and other dial indication mechanisms for watches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2025-03-01T16:14:00Z</dcterms:created>
  <dcterms:modified xsi:type="dcterms:W3CDTF">2025-03-01T16:14:00Z</dcterms:modified>
</cp:coreProperties>
</file>