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F26" w:rsidP="00DF1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MEM21011 Service calendar and other dial indication mechanisms for watches</w:t>
      </w:r>
      <w:r>
        <w:fldChar w:fldCharType="end"/>
      </w:r>
    </w:p>
    <w:p w:rsidR="00DF1F26" w:rsidP="00DF1F26">
      <w:pPr>
        <w:pStyle w:val="Version"/>
        <w:sectPr w:rsidSect="00057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F2F" w:rsidP="00057F2F">
      <w:pPr>
        <w:pStyle w:val="SuperHeading"/>
      </w:pPr>
      <w:r w:rsidRPr="00057F2F">
        <w:t>Assessment Requirements for MEM21011 Service calendar and other dial indication mechanisms for watches</w:t>
      </w:r>
    </w:p>
    <w:p w:rsidR="00000000" w:rsidRPr="00057F2F" w:rsidP="00057F2F">
      <w:pPr>
        <w:pStyle w:val="Heading1"/>
      </w:pPr>
      <w:bookmarkStart w:id="1" w:name="O_951308"/>
      <w:bookmarkEnd w:id="1"/>
      <w:r w:rsidRPr="00057F2F">
        <w:t>Modification History</w:t>
      </w:r>
    </w:p>
    <w:p w:rsidR="00000000" w:rsidRPr="00057F2F" w:rsidP="00DF1F26">
      <w:pPr>
        <w:pStyle w:val="BodyText"/>
      </w:pPr>
      <w:r w:rsidRPr="00057F2F">
        <w:t>Release 1. Supersede</w:t>
      </w:r>
      <w:r w:rsidRPr="00057F2F">
        <w:t xml:space="preserve">s and is equivalent to MEM21011A Service calendar and other dial indication mechanisms for watches </w:t>
      </w:r>
    </w:p>
    <w:p w:rsidR="00000000" w:rsidRPr="00057F2F" w:rsidP="00057F2F">
      <w:pPr>
        <w:pStyle w:val="Heading1"/>
      </w:pPr>
      <w:bookmarkStart w:id="2" w:name="O_951311"/>
      <w:bookmarkEnd w:id="2"/>
      <w:r w:rsidRPr="00057F2F">
        <w:t>Performance Evidence</w:t>
      </w:r>
    </w:p>
    <w:p w:rsidR="00000000" w:rsidRPr="00057F2F" w:rsidP="00DF1F26">
      <w:pPr>
        <w:pStyle w:val="BodyText"/>
      </w:pPr>
      <w:r w:rsidRPr="00057F2F">
        <w:t>Evidence required to demonstrate competence in this unit must be relevant to and satisfy the requirements of the eleme</w:t>
      </w:r>
      <w:r w:rsidRPr="00057F2F">
        <w:t>nts and performance criteria on at least two (2) occasions and include:</w:t>
      </w:r>
    </w:p>
    <w:p w:rsidR="00000000" w:rsidRPr="00057F2F" w:rsidP="00057F2F">
      <w:pPr>
        <w:pStyle w:val="ListBullet"/>
      </w:pPr>
      <w:r w:rsidRPr="00057F2F">
        <w:t xml:space="preserve">following work instructions, standard operating procedures (SOPs) and safe work practices </w:t>
      </w:r>
    </w:p>
    <w:p w:rsidR="00000000" w:rsidRPr="00057F2F" w:rsidP="00057F2F">
      <w:pPr>
        <w:pStyle w:val="ListBullet"/>
      </w:pPr>
      <w:r w:rsidRPr="00057F2F">
        <w:t xml:space="preserve">liaising with customer, verifying condition and performance, and identifying repair costs </w:t>
      </w:r>
    </w:p>
    <w:p w:rsidR="00000000" w:rsidRPr="00057F2F" w:rsidP="00057F2F">
      <w:pPr>
        <w:pStyle w:val="ListBullet"/>
      </w:pPr>
      <w:r w:rsidRPr="00057F2F">
        <w:t>d</w:t>
      </w:r>
      <w:r w:rsidRPr="00057F2F">
        <w:t xml:space="preserve">ismantling, reassembling and lubricating calendar mechanisms using appropriate workshop tools and equipment </w:t>
      </w:r>
    </w:p>
    <w:p w:rsidR="00000000" w:rsidRPr="00057F2F" w:rsidP="00057F2F">
      <w:pPr>
        <w:pStyle w:val="ListBullet"/>
      </w:pPr>
      <w:r w:rsidRPr="00057F2F">
        <w:t>servicing and fault finding and addressing faults in calendar watches and ensuring correct fitting and functions</w:t>
      </w:r>
    </w:p>
    <w:p w:rsidR="00000000" w:rsidRPr="00057F2F" w:rsidP="00057F2F">
      <w:pPr>
        <w:pStyle w:val="ListBullet"/>
      </w:pPr>
      <w:r w:rsidRPr="00057F2F">
        <w:t>performing inspection and adjustme</w:t>
      </w:r>
      <w:r w:rsidRPr="00057F2F">
        <w:t>nt of calendar change mechanism</w:t>
      </w:r>
    </w:p>
    <w:p w:rsidR="00000000" w:rsidRPr="00057F2F" w:rsidP="00057F2F">
      <w:pPr>
        <w:pStyle w:val="ListBullet"/>
      </w:pPr>
      <w:r w:rsidRPr="00057F2F">
        <w:t>applying correct amount and type of lubrication in accordance with manufacturer’s specifications</w:t>
      </w:r>
    </w:p>
    <w:p w:rsidR="00000000" w:rsidRPr="00057F2F" w:rsidP="00057F2F">
      <w:pPr>
        <w:pStyle w:val="ListBullet"/>
      </w:pPr>
      <w:r w:rsidRPr="00057F2F">
        <w:t>synchronising dial indications with calendar change mechanism</w:t>
      </w:r>
    </w:p>
    <w:p w:rsidR="00000000" w:rsidRPr="00057F2F" w:rsidP="00057F2F">
      <w:pPr>
        <w:pStyle w:val="ListBullet"/>
      </w:pPr>
      <w:r w:rsidRPr="00057F2F">
        <w:t>recording and documenting repairs.</w:t>
      </w:r>
    </w:p>
    <w:p w:rsidR="00000000" w:rsidRPr="00057F2F" w:rsidP="00057F2F">
      <w:pPr>
        <w:pStyle w:val="AllowPageBreak"/>
      </w:pPr>
    </w:p>
    <w:p w:rsidR="00000000" w:rsidRPr="00057F2F" w:rsidP="00057F2F">
      <w:pPr>
        <w:pStyle w:val="Heading1"/>
      </w:pPr>
      <w:bookmarkStart w:id="3" w:name="O_951310"/>
      <w:bookmarkEnd w:id="3"/>
      <w:r w:rsidRPr="00057F2F">
        <w:t>Knowledge Evi</w:t>
      </w:r>
      <w:r w:rsidRPr="00057F2F">
        <w:t>dence</w:t>
      </w:r>
    </w:p>
    <w:p w:rsidR="00000000" w:rsidRPr="00057F2F" w:rsidP="00DF1F26">
      <w:pPr>
        <w:pStyle w:val="BodyText"/>
      </w:pPr>
      <w:r w:rsidRPr="00057F2F">
        <w:t>Evidence required to demonstrate the required knowledge for this unit must be relevant to and satisfy the requirements of the elements and performance criteria and include knowledge of:</w:t>
      </w:r>
    </w:p>
    <w:p w:rsidR="00000000" w:rsidRPr="00057F2F" w:rsidP="00057F2F">
      <w:pPr>
        <w:pStyle w:val="ListBullet"/>
      </w:pPr>
      <w:r w:rsidRPr="00057F2F">
        <w:t>safe work practices and procedures and use of personal protecti</w:t>
      </w:r>
      <w:r w:rsidRPr="00057F2F">
        <w:t>ve equipment (PPE)</w:t>
      </w:r>
    </w:p>
    <w:p w:rsidR="00000000" w:rsidRPr="00057F2F" w:rsidP="00057F2F">
      <w:pPr>
        <w:pStyle w:val="ListBullet"/>
      </w:pPr>
      <w:r w:rsidRPr="00057F2F">
        <w:t>types of calendar watches</w:t>
      </w:r>
    </w:p>
    <w:p w:rsidR="00000000" w:rsidRPr="00057F2F" w:rsidP="00057F2F">
      <w:pPr>
        <w:pStyle w:val="ListBullet"/>
      </w:pPr>
      <w:r w:rsidRPr="00057F2F">
        <w:t>types of calendar drive mechanism operation</w:t>
      </w:r>
    </w:p>
    <w:p w:rsidR="00000000" w:rsidRPr="00057F2F" w:rsidP="00057F2F">
      <w:pPr>
        <w:pStyle w:val="ListBullet"/>
      </w:pPr>
      <w:r w:rsidRPr="00057F2F">
        <w:t>power reserve indicator construction and operation</w:t>
      </w:r>
    </w:p>
    <w:p w:rsidR="00000000" w:rsidRPr="00057F2F" w:rsidP="00057F2F">
      <w:pPr>
        <w:pStyle w:val="ListBullet"/>
      </w:pPr>
      <w:r w:rsidRPr="00057F2F">
        <w:t>calendar/dial indications component part names</w:t>
      </w:r>
    </w:p>
    <w:p w:rsidR="00000000" w:rsidRPr="00057F2F" w:rsidP="00057F2F">
      <w:pPr>
        <w:pStyle w:val="ListBullet"/>
      </w:pPr>
      <w:r w:rsidRPr="00057F2F">
        <w:t xml:space="preserve">repair/replacement options for calendar and dial indication mechanisms </w:t>
      </w:r>
    </w:p>
    <w:p w:rsidR="00000000" w:rsidRPr="00057F2F" w:rsidP="00057F2F">
      <w:pPr>
        <w:pStyle w:val="ListBullet"/>
      </w:pPr>
      <w:r w:rsidRPr="00057F2F">
        <w:t>lubrication techniques for calendar and dial indication mechanisms</w:t>
      </w:r>
    </w:p>
    <w:p w:rsidR="00000000" w:rsidRPr="00057F2F" w:rsidP="00057F2F">
      <w:pPr>
        <w:pStyle w:val="ListBullet"/>
      </w:pPr>
      <w:r w:rsidRPr="00057F2F">
        <w:t>fault-finding and inspection techniques of calendar and dial indication mechanisms.</w:t>
      </w:r>
    </w:p>
    <w:p w:rsidR="00000000" w:rsidRPr="00057F2F" w:rsidP="00057F2F">
      <w:pPr>
        <w:pStyle w:val="AllowPageBreak"/>
      </w:pPr>
    </w:p>
    <w:p w:rsidR="00000000" w:rsidRPr="00057F2F" w:rsidP="00057F2F">
      <w:pPr>
        <w:pStyle w:val="Heading1"/>
      </w:pPr>
      <w:bookmarkStart w:id="4" w:name="O_951309"/>
      <w:bookmarkEnd w:id="4"/>
      <w:r w:rsidRPr="00057F2F">
        <w:t>Assessment Condi</w:t>
      </w:r>
      <w:r w:rsidRPr="00057F2F">
        <w:t>tions</w:t>
      </w:r>
    </w:p>
    <w:p w:rsidR="00000000" w:rsidRPr="00057F2F" w:rsidP="00057F2F">
      <w:pPr>
        <w:pStyle w:val="ListBullet"/>
      </w:pPr>
      <w:r w:rsidRPr="00057F2F">
        <w:t>Assessors must:</w:t>
      </w:r>
    </w:p>
    <w:p w:rsidR="00000000" w:rsidRPr="00057F2F" w:rsidP="00057F2F">
      <w:pPr>
        <w:pStyle w:val="ListBullet2"/>
      </w:pPr>
      <w:r w:rsidRPr="00057F2F">
        <w:t>have vocational competency in servicing calendar and other dial indication mechanisms for watches at least to the level being assessed with relevant industry knowledge and experience</w:t>
      </w:r>
    </w:p>
    <w:p w:rsidR="00000000" w:rsidRPr="00057F2F" w:rsidP="00057F2F">
      <w:pPr>
        <w:pStyle w:val="ListBullet2"/>
      </w:pPr>
      <w:r w:rsidRPr="00057F2F">
        <w:t xml:space="preserve">satisfy the assessor requirements in the </w:t>
      </w:r>
      <w:r w:rsidRPr="00057F2F">
        <w:rPr>
          <w:rStyle w:val="Emphasis"/>
        </w:rPr>
        <w:t>Standard</w:t>
      </w:r>
      <w:r w:rsidRPr="00057F2F">
        <w:rPr>
          <w:rStyle w:val="Emphasis"/>
        </w:rPr>
        <w:t xml:space="preserve">s for Registered Training Organisations 2015 </w:t>
      </w:r>
      <w:r w:rsidRPr="00057F2F">
        <w:t>or its replacement</w:t>
      </w:r>
      <w:r w:rsidRPr="00057F2F">
        <w:rPr>
          <w:rStyle w:val="Emphasis"/>
        </w:rPr>
        <w:t xml:space="preserve"> </w:t>
      </w:r>
      <w:r w:rsidRPr="00057F2F">
        <w:t xml:space="preserve">and comply with the </w:t>
      </w:r>
      <w:r w:rsidRPr="00057F2F">
        <w:rPr>
          <w:rStyle w:val="Emphasis"/>
        </w:rPr>
        <w:t xml:space="preserve">National Vocational Education and Training Regulator Act 2011, </w:t>
      </w:r>
      <w:r w:rsidRPr="00057F2F">
        <w:t>its replacement</w:t>
      </w:r>
      <w:r w:rsidRPr="00057F2F">
        <w:rPr>
          <w:rStyle w:val="Emphasis"/>
        </w:rPr>
        <w:t xml:space="preserve"> </w:t>
      </w:r>
      <w:r w:rsidRPr="00057F2F">
        <w:t>or equivalent legislation covering VET regulation in a non-referring state/territory as the c</w:t>
      </w:r>
      <w:r w:rsidRPr="00057F2F">
        <w:t>ase requires</w:t>
      </w:r>
    </w:p>
    <w:p w:rsidR="00000000" w:rsidRPr="00057F2F" w:rsidP="00057F2F">
      <w:pPr>
        <w:pStyle w:val="ListBullet"/>
      </w:pPr>
      <w:r w:rsidRPr="00057F2F">
        <w:t>Where possible assessment must occur in operational workplace situations. Where this is not possible or where personal safety or environmental damage are limiting factors, assessment must occur in a sufficiently rigorous simulated environment</w:t>
      </w:r>
      <w:r w:rsidRPr="00057F2F">
        <w:t xml:space="preserve">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57F2F" w:rsidP="00057F2F">
      <w:pPr>
        <w:pStyle w:val="ListBullet"/>
      </w:pPr>
      <w:r w:rsidRPr="00057F2F">
        <w:t>Conditions for assess</w:t>
      </w:r>
      <w:r w:rsidRPr="00057F2F">
        <w:t>ment must include access to all tools, equipment, materials and documentation required, including relevant workplace procedures, product and manufacturing specifications</w:t>
      </w:r>
    </w:p>
    <w:p w:rsidR="00000000" w:rsidRPr="00057F2F" w:rsidP="00057F2F">
      <w:pPr>
        <w:pStyle w:val="ListBullet"/>
      </w:pPr>
      <w:r w:rsidRPr="00057F2F">
        <w:t xml:space="preserve">Assessment processes and techniques must be appropriate to the language, literacy and </w:t>
      </w:r>
      <w:r w:rsidRPr="00057F2F">
        <w:t>numeracy requirements of the work being performed and the needs of the candidate.</w:t>
      </w:r>
    </w:p>
    <w:p w:rsidR="00000000" w:rsidRPr="00057F2F" w:rsidP="00057F2F">
      <w:pPr>
        <w:pStyle w:val="AllowPageBreak"/>
      </w:pPr>
    </w:p>
    <w:p w:rsidR="00000000" w:rsidRPr="00057F2F" w:rsidP="00057F2F">
      <w:pPr>
        <w:pStyle w:val="Heading1"/>
      </w:pPr>
      <w:bookmarkStart w:id="5" w:name="O_951307"/>
      <w:bookmarkEnd w:id="5"/>
      <w:r w:rsidRPr="00057F2F">
        <w:t>Links</w:t>
      </w:r>
    </w:p>
    <w:p w:rsidR="00000000" w:rsidRPr="00057F2F" w:rsidP="00DF1F26">
      <w:pPr>
        <w:pStyle w:val="BodyText"/>
      </w:pPr>
      <w:r w:rsidRPr="00057F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248D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57F2F" w:rsidP="00057F2F"/>
    <w:sectPr w:rsidSect="00057F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2F" w:rsidRPr="00DF1F26" w:rsidP="00DF1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26" w:rsidP="00057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1F26" w:rsidP="00057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1F26" w:rsidP="00057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F2F" w:rsidRPr="00DF1F26" w:rsidP="00DF1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F26" w:rsidRPr="002D2AF8" w:rsidP="00057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MEM21011 Service calendar and other dial indication mechanisms for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1F26" w:rsidP="00057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B83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6B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4F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F2F"/>
  </w:style>
  <w:style w:type="character" w:customStyle="1" w:styleId="Heading1Char">
    <w:name w:val="Heading 1 Char"/>
    <w:basedOn w:val="DefaultParagraphFont"/>
    <w:link w:val="Heading1"/>
    <w:rsid w:val="00057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F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7F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7F2F"/>
    <w:rPr>
      <w:i/>
    </w:rPr>
  </w:style>
  <w:style w:type="paragraph" w:customStyle="1" w:styleId="SuperHeading">
    <w:name w:val="SuperHeading"/>
    <w:basedOn w:val="Normal"/>
    <w:rsid w:val="00057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F2F"/>
    <w:rPr>
      <w:b/>
      <w:spacing w:val="0"/>
    </w:rPr>
  </w:style>
  <w:style w:type="paragraph" w:customStyle="1" w:styleId="SuperTitle">
    <w:name w:val="SuperTitle"/>
    <w:basedOn w:val="Title"/>
    <w:rsid w:val="00057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F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7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F2F"/>
  </w:style>
  <w:style w:type="paragraph" w:styleId="TableofFigures">
    <w:name w:val="table of figures"/>
    <w:basedOn w:val="Normal"/>
    <w:next w:val="Normal"/>
    <w:semiHidden/>
    <w:rsid w:val="00057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F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F2F"/>
    <w:rPr>
      <w:rFonts w:ascii="Wingdings" w:hAnsi="Wingdings"/>
    </w:rPr>
  </w:style>
  <w:style w:type="paragraph" w:customStyle="1" w:styleId="TableHeading">
    <w:name w:val="Table Heading"/>
    <w:basedOn w:val="HeadingBase"/>
    <w:rsid w:val="00057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F2F"/>
    <w:rPr>
      <w:color w:val="0033CC"/>
      <w:u w:val="none"/>
    </w:rPr>
  </w:style>
  <w:style w:type="paragraph" w:customStyle="1" w:styleId="BodyTextRight">
    <w:name w:val="Body Text Right"/>
    <w:basedOn w:val="BodyText"/>
    <w:rsid w:val="00057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F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F2F"/>
    <w:rPr>
      <w:sz w:val="32"/>
    </w:rPr>
  </w:style>
  <w:style w:type="paragraph" w:customStyle="1" w:styleId="HeadingProcedure">
    <w:name w:val="Heading Procedure"/>
    <w:basedOn w:val="HeadingBase"/>
    <w:next w:val="Normal"/>
    <w:rsid w:val="00057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F2F"/>
    <w:pPr>
      <w:spacing w:before="60" w:after="60"/>
    </w:pPr>
  </w:style>
  <w:style w:type="paragraph" w:styleId="ListContinue">
    <w:name w:val="List Continue"/>
    <w:basedOn w:val="List"/>
    <w:rsid w:val="00057F2F"/>
    <w:pPr>
      <w:ind w:firstLine="0"/>
    </w:pPr>
  </w:style>
  <w:style w:type="paragraph" w:customStyle="1" w:styleId="ListNote">
    <w:name w:val="List Note"/>
    <w:basedOn w:val="List"/>
    <w:rsid w:val="00057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F2F"/>
    <w:rPr>
      <w:rFonts w:ascii="Courier New" w:hAnsi="Courier New"/>
    </w:rPr>
  </w:style>
  <w:style w:type="paragraph" w:customStyle="1" w:styleId="NoteBullet">
    <w:name w:val="Note Bullet"/>
    <w:basedOn w:val="Note"/>
    <w:rsid w:val="00057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F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F2F"/>
    <w:rPr>
      <w:b/>
      <w:smallCaps/>
    </w:rPr>
  </w:style>
  <w:style w:type="paragraph" w:customStyle="1" w:styleId="TableListNumber">
    <w:name w:val="Table List Number"/>
    <w:basedOn w:val="ListNumber"/>
    <w:rsid w:val="00057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F2F"/>
    <w:pPr>
      <w:numPr>
        <w:numId w:val="9"/>
      </w:numPr>
    </w:pPr>
  </w:style>
  <w:style w:type="paragraph" w:customStyle="1" w:styleId="ListAlpha2">
    <w:name w:val="List Alpha 2"/>
    <w:basedOn w:val="List2"/>
    <w:rsid w:val="00057F2F"/>
    <w:pPr>
      <w:numPr>
        <w:numId w:val="8"/>
      </w:numPr>
    </w:pPr>
  </w:style>
  <w:style w:type="paragraph" w:styleId="List2">
    <w:name w:val="List 2"/>
    <w:basedOn w:val="BodyText"/>
    <w:rsid w:val="00057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F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F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F2F"/>
    <w:pPr>
      <w:numPr>
        <w:numId w:val="4"/>
      </w:numPr>
    </w:pPr>
  </w:style>
  <w:style w:type="paragraph" w:styleId="ListContinue2">
    <w:name w:val="List Continue 2"/>
    <w:basedOn w:val="List2"/>
    <w:rsid w:val="00057F2F"/>
    <w:pPr>
      <w:ind w:firstLine="0"/>
    </w:pPr>
  </w:style>
  <w:style w:type="paragraph" w:styleId="ListContinue3">
    <w:name w:val="List Continue 3"/>
    <w:basedOn w:val="List3"/>
    <w:rsid w:val="00057F2F"/>
    <w:pPr>
      <w:ind w:left="1021" w:firstLine="0"/>
    </w:pPr>
  </w:style>
  <w:style w:type="paragraph" w:styleId="ListContinue4">
    <w:name w:val="List Continue 4"/>
    <w:basedOn w:val="List4"/>
    <w:rsid w:val="00057F2F"/>
    <w:pPr>
      <w:ind w:firstLine="0"/>
    </w:pPr>
  </w:style>
  <w:style w:type="paragraph" w:styleId="ListContinue5">
    <w:name w:val="List Continue 5"/>
    <w:basedOn w:val="List5"/>
    <w:rsid w:val="00057F2F"/>
    <w:pPr>
      <w:ind w:firstLine="0"/>
    </w:pPr>
  </w:style>
  <w:style w:type="paragraph" w:styleId="ListNumber3">
    <w:name w:val="List Number 3"/>
    <w:basedOn w:val="List3"/>
    <w:rsid w:val="00057F2F"/>
    <w:pPr>
      <w:numPr>
        <w:numId w:val="5"/>
      </w:numPr>
    </w:pPr>
  </w:style>
  <w:style w:type="paragraph" w:styleId="ListNumber4">
    <w:name w:val="List Number 4"/>
    <w:basedOn w:val="List4"/>
    <w:rsid w:val="00057F2F"/>
    <w:pPr>
      <w:numPr>
        <w:numId w:val="6"/>
      </w:numPr>
    </w:pPr>
  </w:style>
  <w:style w:type="paragraph" w:styleId="ListNumber5">
    <w:name w:val="List Number 5"/>
    <w:basedOn w:val="List5"/>
    <w:rsid w:val="00057F2F"/>
    <w:pPr>
      <w:numPr>
        <w:numId w:val="7"/>
      </w:numPr>
    </w:pPr>
  </w:style>
  <w:style w:type="paragraph" w:styleId="BlockText">
    <w:name w:val="Block Text"/>
    <w:basedOn w:val="Normal"/>
    <w:rsid w:val="00057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F2F"/>
    <w:rPr>
      <w:sz w:val="16"/>
      <w:vertAlign w:val="superscript"/>
    </w:rPr>
  </w:style>
  <w:style w:type="character" w:customStyle="1" w:styleId="Symbols">
    <w:name w:val="Symbols"/>
    <w:basedOn w:val="DefaultParagraphFont"/>
    <w:rsid w:val="00057F2F"/>
    <w:rPr>
      <w:rFonts w:ascii="Symbol" w:hAnsi="Symbol"/>
    </w:rPr>
  </w:style>
  <w:style w:type="character" w:customStyle="1" w:styleId="MenuOptions">
    <w:name w:val="Menu Options"/>
    <w:basedOn w:val="DefaultParagraphFont"/>
    <w:rsid w:val="00057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F2F"/>
    <w:rPr>
      <w:b/>
    </w:rPr>
  </w:style>
  <w:style w:type="character" w:customStyle="1" w:styleId="Underlined">
    <w:name w:val="Underlined"/>
    <w:basedOn w:val="DefaultParagraphFont"/>
    <w:rsid w:val="00057F2F"/>
    <w:rPr>
      <w:u w:val="single"/>
    </w:rPr>
  </w:style>
  <w:style w:type="paragraph" w:customStyle="1" w:styleId="TableBodyTextRight">
    <w:name w:val="Table Body Text Right"/>
    <w:basedOn w:val="TableBodyText"/>
    <w:rsid w:val="00057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F2F"/>
    <w:rPr>
      <w:sz w:val="18"/>
    </w:rPr>
  </w:style>
  <w:style w:type="paragraph" w:customStyle="1" w:styleId="BodySmallRight">
    <w:name w:val="Body Small Right"/>
    <w:basedOn w:val="BodyTextRight"/>
    <w:rsid w:val="00057F2F"/>
    <w:rPr>
      <w:sz w:val="18"/>
      <w:szCs w:val="18"/>
    </w:rPr>
  </w:style>
  <w:style w:type="paragraph" w:customStyle="1" w:styleId="MarginEdition">
    <w:name w:val="Margin Edition"/>
    <w:basedOn w:val="MarginNote"/>
    <w:rsid w:val="00057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F2F"/>
    <w:rPr>
      <w:sz w:val="2"/>
      <w:szCs w:val="2"/>
    </w:rPr>
  </w:style>
  <w:style w:type="character" w:customStyle="1" w:styleId="Small">
    <w:name w:val="Small"/>
    <w:basedOn w:val="DefaultParagraphFont"/>
    <w:rsid w:val="00057F2F"/>
    <w:rPr>
      <w:sz w:val="16"/>
    </w:rPr>
  </w:style>
  <w:style w:type="paragraph" w:customStyle="1" w:styleId="WideTable">
    <w:name w:val="Wide Table"/>
    <w:basedOn w:val="Normal"/>
    <w:rsid w:val="00057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F2F"/>
  </w:style>
  <w:style w:type="paragraph" w:styleId="Quote">
    <w:name w:val="Quote"/>
    <w:basedOn w:val="Heading1"/>
    <w:link w:val="QuoteChar"/>
    <w:qFormat/>
    <w:rsid w:val="00057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F2F"/>
    <w:pPr>
      <w:pageBreakBefore/>
    </w:pPr>
  </w:style>
  <w:style w:type="paragraph" w:customStyle="1" w:styleId="Border">
    <w:name w:val="Border"/>
    <w:basedOn w:val="Normal"/>
    <w:qFormat/>
    <w:rsid w:val="00057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F2F"/>
    <w:rPr>
      <w:u w:val="single"/>
    </w:rPr>
  </w:style>
  <w:style w:type="character" w:customStyle="1" w:styleId="BoldandItalics">
    <w:name w:val="Bold and Italics"/>
    <w:qFormat/>
    <w:rsid w:val="00057F2F"/>
    <w:rPr>
      <w:b/>
      <w:i/>
      <w:u w:val="none"/>
    </w:rPr>
  </w:style>
  <w:style w:type="paragraph" w:styleId="BalloonText">
    <w:name w:val="Balloon Text"/>
    <w:basedOn w:val="Normal"/>
    <w:link w:val="BalloonTextChar"/>
    <w:rsid w:val="0005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F2F"/>
    <w:pPr>
      <w:spacing w:before="0" w:after="0"/>
    </w:pPr>
  </w:style>
  <w:style w:type="paragraph" w:customStyle="1" w:styleId="BodyTextBold">
    <w:name w:val="Body Text Bold"/>
    <w:basedOn w:val="BodyText"/>
    <w:qFormat/>
    <w:rsid w:val="00057F2F"/>
    <w:rPr>
      <w:b/>
    </w:rPr>
  </w:style>
  <w:style w:type="character" w:styleId="Hyperlink">
    <w:name w:val="Hyperlink"/>
    <w:basedOn w:val="DefaultParagraphFont"/>
    <w:uiPriority w:val="99"/>
    <w:unhideWhenUsed/>
    <w:rsid w:val="00DF1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3151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MEM21011 Service calendar and other dial indication mechanisms for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