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DF1" w:rsidP="00261DF1">
      <w:pPr>
        <w:pStyle w:val="Title"/>
      </w:pPr>
      <w:r>
        <w:fldChar w:fldCharType="begin"/>
      </w:r>
      <w:r>
        <w:instrText xml:space="preserve"> TITLE   \* MERGEFORMAT </w:instrText>
      </w:r>
      <w:r>
        <w:fldChar w:fldCharType="separate"/>
      </w:r>
      <w:r>
        <w:t>MEM21010 Service watch power generating systems</w:t>
      </w:r>
      <w:r>
        <w:fldChar w:fldCharType="end"/>
      </w:r>
    </w:p>
    <w:p w:rsidR="00261DF1" w:rsidP="00261DF1">
      <w:pPr>
        <w:pStyle w:val="Version"/>
        <w:sectPr w:rsidSect="00464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CA9" w:rsidP="00464CA9">
      <w:pPr>
        <w:pStyle w:val="SuperHeading"/>
      </w:pPr>
      <w:r w:rsidRPr="00464CA9">
        <w:t>MEM21010 Service watch power generating systems</w:t>
      </w:r>
    </w:p>
    <w:p w:rsidR="00000000" w:rsidRPr="00464CA9" w:rsidP="00464CA9">
      <w:pPr>
        <w:pStyle w:val="Heading1"/>
      </w:pPr>
      <w:bookmarkStart w:id="1" w:name="O_951293"/>
      <w:bookmarkEnd w:id="1"/>
      <w:r w:rsidRPr="00464CA9">
        <w:t>Modification History</w:t>
      </w:r>
    </w:p>
    <w:p w:rsidR="00000000" w:rsidRPr="00464CA9" w:rsidP="00261DF1">
      <w:pPr>
        <w:pStyle w:val="BodyText"/>
      </w:pPr>
      <w:r w:rsidRPr="00464CA9">
        <w:t xml:space="preserve">Release 1. Supersedes and is equivalent to MEM21010A Service watch power generating systems </w:t>
      </w:r>
    </w:p>
    <w:p w:rsidR="00000000" w:rsidRPr="00464CA9" w:rsidP="00464CA9">
      <w:pPr>
        <w:pStyle w:val="Heading1"/>
      </w:pPr>
      <w:bookmarkStart w:id="2" w:name="O_951301"/>
      <w:bookmarkEnd w:id="2"/>
      <w:r w:rsidRPr="00464CA9">
        <w:t>Application</w:t>
      </w:r>
    </w:p>
    <w:p w:rsidR="00000000" w:rsidRPr="00464CA9" w:rsidP="00261DF1">
      <w:pPr>
        <w:pStyle w:val="BodyText"/>
      </w:pPr>
      <w:r w:rsidRPr="00464CA9">
        <w:t>This unit of competency defines the skills and knowledge required to service and repair mechanical self-w</w:t>
      </w:r>
      <w:r w:rsidRPr="00464CA9">
        <w:t>inding (automatic) watches and quartz watch power generating systems, service components, and adjust and test mechanisms for optimum performance.</w:t>
      </w:r>
    </w:p>
    <w:p w:rsidR="00000000" w:rsidRPr="00464CA9" w:rsidP="00261DF1">
      <w:pPr>
        <w:pStyle w:val="BodyText"/>
      </w:pPr>
      <w:r w:rsidRPr="00464CA9">
        <w:t>No licensing, legislative or certification requirements apply to this unit at the time of publication.</w:t>
      </w:r>
    </w:p>
    <w:p w:rsidR="00000000" w:rsidRPr="00464CA9" w:rsidP="00261DF1">
      <w:pPr>
        <w:pStyle w:val="Heading3"/>
      </w:pPr>
      <w:r w:rsidRPr="00464CA9">
        <w:rPr>
          <w:rStyle w:val="SpecialBold"/>
        </w:rPr>
        <w:t>Band:</w:t>
      </w:r>
      <w:r w:rsidRPr="00464CA9">
        <w:rPr>
          <w:rStyle w:val="SpecialBold"/>
        </w:rPr>
        <w:t xml:space="preserve">  A</w:t>
      </w:r>
    </w:p>
    <w:p w:rsidR="00000000" w:rsidRPr="00464CA9" w:rsidP="00261DF1">
      <w:pPr>
        <w:pStyle w:val="Heading3"/>
      </w:pPr>
      <w:r w:rsidRPr="00464CA9">
        <w:rPr>
          <w:rStyle w:val="SpecialBold"/>
        </w:rPr>
        <w:t xml:space="preserve">Unit weight:  2 </w:t>
      </w:r>
    </w:p>
    <w:p w:rsidR="00000000" w:rsidRPr="00464CA9" w:rsidP="00464CA9">
      <w:pPr>
        <w:pStyle w:val="Heading1"/>
      </w:pPr>
      <w:bookmarkStart w:id="3" w:name="O_951300"/>
      <w:bookmarkEnd w:id="3"/>
      <w:r w:rsidRPr="00464CA9">
        <w:t>Pre-requisite Unit</w:t>
      </w:r>
    </w:p>
    <w:tbl>
      <w:tblPr>
        <w:tblW w:w="0" w:type="auto"/>
        <w:tblLayout w:type="fixed"/>
        <w:tblCellMar>
          <w:left w:w="62" w:type="dxa"/>
          <w:right w:w="62" w:type="dxa"/>
        </w:tblCellMar>
        <w:tblLook w:val="0000"/>
      </w:tblPr>
      <w:tblGrid>
        <w:gridCol w:w="2186"/>
        <w:gridCol w:w="6886"/>
      </w:tblGrid>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MEM11011</w:t>
            </w:r>
          </w:p>
        </w:tc>
        <w:tc>
          <w:tcPr>
            <w:tcW w:w="68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Undertake manual handling</w:t>
            </w:r>
          </w:p>
        </w:tc>
      </w:tr>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MEM13015</w:t>
            </w:r>
          </w:p>
        </w:tc>
        <w:tc>
          <w:tcPr>
            <w:tcW w:w="68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Work safely and effectively in manufacturing and engineering</w:t>
            </w:r>
          </w:p>
        </w:tc>
      </w:tr>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MEM16006</w:t>
            </w:r>
          </w:p>
        </w:tc>
        <w:tc>
          <w:tcPr>
            <w:tcW w:w="68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Organise and communicate information</w:t>
            </w:r>
          </w:p>
        </w:tc>
      </w:tr>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MEM18001</w:t>
            </w:r>
          </w:p>
        </w:tc>
        <w:tc>
          <w:tcPr>
            <w:tcW w:w="68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Use hand tools</w:t>
            </w:r>
          </w:p>
        </w:tc>
      </w:tr>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MEM21008</w:t>
            </w:r>
          </w:p>
        </w:tc>
        <w:tc>
          <w:tcPr>
            <w:tcW w:w="68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Service mechanical watches</w:t>
            </w:r>
          </w:p>
        </w:tc>
      </w:tr>
      <w:tr w:rsidTr="00464CA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MEM21009</w:t>
            </w:r>
          </w:p>
        </w:tc>
        <w:tc>
          <w:tcPr>
            <w:tcW w:w="6886"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Inspect, diagnose, adjust and repair mechanical watches</w:t>
            </w:r>
          </w:p>
        </w:tc>
      </w:tr>
    </w:tbl>
    <w:p w:rsidR="00000000" w:rsidRPr="00464CA9" w:rsidP="00464CA9">
      <w:pPr>
        <w:pStyle w:val="BodyText"/>
      </w:pPr>
    </w:p>
    <w:p w:rsidR="00000000" w:rsidRPr="00464CA9" w:rsidP="00464CA9">
      <w:pPr>
        <w:pStyle w:val="AllowPageBreak"/>
      </w:pPr>
    </w:p>
    <w:p w:rsidR="00000000" w:rsidRPr="00464CA9" w:rsidP="00464CA9">
      <w:pPr>
        <w:pStyle w:val="Heading1"/>
      </w:pPr>
      <w:bookmarkStart w:id="4" w:name="O_951299"/>
      <w:bookmarkEnd w:id="4"/>
      <w:r w:rsidRPr="00464CA9">
        <w:t>Competency Field</w:t>
      </w:r>
    </w:p>
    <w:p w:rsidR="00000000" w:rsidRPr="00464CA9" w:rsidP="00261DF1">
      <w:pPr>
        <w:pStyle w:val="BodyText"/>
      </w:pPr>
      <w:r w:rsidRPr="00464CA9">
        <w:t>Horology</w:t>
      </w:r>
    </w:p>
    <w:p w:rsidR="00000000" w:rsidRPr="00464CA9" w:rsidP="00464CA9">
      <w:pPr>
        <w:pStyle w:val="Heading1"/>
      </w:pPr>
      <w:bookmarkStart w:id="5" w:name="O_951297"/>
      <w:bookmarkEnd w:id="5"/>
      <w:r w:rsidRPr="00464CA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64CA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Performance criteria des</w:t>
            </w:r>
            <w:r w:rsidRPr="00464CA9">
              <w:t>cribe the performance needed to demonstrate achievement of the element.</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1</w:t>
            </w:r>
          </w:p>
        </w:tc>
        <w:tc>
          <w:tcPr>
            <w:tcW w:w="1986" w:type="dxa"/>
            <w:vMerge w:val="restart"/>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Determine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1.1</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Follow standard operating procedures (SOPs)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1.2</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Comply with work health and safety (WHS) requirements at all times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1.3</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Inspect watch condition and performance concerns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1.4</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Prepare written and verbal quotations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1.5</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Agree with customer on recommended service procedures to remedy faults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1.6</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Identify mechanical self-winding or quartz generating system type</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1.7</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Prepare watch for handover</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1.8</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Record and document repair process</w:t>
            </w:r>
          </w:p>
        </w:tc>
      </w:tr>
      <w:tr w:rsidTr="00464C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CA9">
            <w:pPr>
              <w:pStyle w:val="BodyText"/>
              <w:rPr>
                <w:lang w:val="en-NZ"/>
              </w:rPr>
            </w:pP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2</w:t>
            </w:r>
          </w:p>
        </w:tc>
        <w:tc>
          <w:tcPr>
            <w:tcW w:w="1986" w:type="dxa"/>
            <w:vMerge w:val="restart"/>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Disassemble and reassemble self-winding or quartz generating mechanisms</w:t>
            </w: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2.1</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Establish an appropriate clean and safe work environment</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2.2</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Select and use approp</w:t>
            </w:r>
            <w:r w:rsidRPr="00464CA9">
              <w:t>riate personal protective equipment (PPE) in accordance with SOPs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2.3</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Open and close self-winding or quartz generating watch cases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2.4</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Use hand tools and equipment in safe and correct manner</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2.5</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Remove and replace case components, dial and hands, movements and sub-assemblies in correct sequence without damaging or marking</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2.6</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Verify condition of case pushbuttons and gaskets and replace, as required</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2.7</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Clean cases and bands, as required</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2</w:t>
            </w:r>
            <w:r w:rsidRPr="00464CA9">
              <w:t>.8</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Apply dismantling and assembly precautions</w:t>
            </w:r>
          </w:p>
        </w:tc>
      </w:tr>
      <w:tr w:rsidTr="00464C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CA9">
            <w:pPr>
              <w:pStyle w:val="BodyText"/>
              <w:rPr>
                <w:lang w:val="en-NZ"/>
              </w:rPr>
            </w:pP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3</w:t>
            </w:r>
          </w:p>
        </w:tc>
        <w:tc>
          <w:tcPr>
            <w:tcW w:w="1986" w:type="dxa"/>
            <w:vMerge w:val="restart"/>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Service and adjust self-winding or quartz generating watch mechanisms</w:t>
            </w: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3.1</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Inspect condition of self-winding or quartz generating watch mechanisms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3.2</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Lubricate components and sub-assemblies according to manufacturer specification</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3.3</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Replace faulty or worn component parts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3.4</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Clean self-winding or quartz generating watch mechanism components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3.5</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Inspect self-winding or quartz generating mechanism for cleanliness and rectify imperfections or faults</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3.6</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Adjust self-winding or quartz generating mechanism components for correct operation, end shake and clearances</w:t>
            </w:r>
          </w:p>
        </w:tc>
      </w:tr>
      <w:tr w:rsidTr="00464CA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64CA9">
            <w:pPr>
              <w:pStyle w:val="BodyText"/>
              <w:rPr>
                <w:lang w:val="en-NZ"/>
              </w:rPr>
            </w:pP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4</w:t>
            </w:r>
          </w:p>
        </w:tc>
        <w:tc>
          <w:tcPr>
            <w:tcW w:w="1986" w:type="dxa"/>
            <w:vMerge w:val="restart"/>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Test and adjust self-winding or quartz generating mechanism function and performance</w:t>
            </w: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4.1</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Perform pre-service inspection and fault finding of self-winding or quartz generating mechanism action, function and wrist sensitivity</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4.2</w:t>
            </w:r>
          </w:p>
        </w:tc>
        <w:tc>
          <w:tcPr>
            <w:tcW w:w="5678"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Verify watch performance/</w:t>
            </w:r>
            <w:r w:rsidRPr="00464CA9">
              <w:t>rate testing and amplitude</w:t>
            </w:r>
          </w:p>
        </w:tc>
      </w:tr>
      <w:tr w:rsidTr="00464CA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4.3</w:t>
            </w:r>
          </w:p>
        </w:tc>
        <w:tc>
          <w:tcPr>
            <w:tcW w:w="5678" w:type="dxa"/>
            <w:tcBorders>
              <w:top w:val="nil"/>
              <w:left w:val="nil"/>
              <w:bottom w:val="nil"/>
              <w:right w:val="nil"/>
            </w:tcBorders>
            <w:tcMar>
              <w:top w:w="0" w:type="dxa"/>
              <w:left w:w="62" w:type="dxa"/>
              <w:bottom w:w="0" w:type="dxa"/>
              <w:right w:w="62" w:type="dxa"/>
            </w:tcMar>
          </w:tcPr>
          <w:p w:rsidR="00000000" w:rsidRPr="00464CA9" w:rsidP="00464CA9">
            <w:pPr>
              <w:pStyle w:val="BodyText"/>
            </w:pPr>
            <w:r w:rsidRPr="00464CA9">
              <w:t>Perform simulated wear and power generation tests, as appropriate</w:t>
            </w:r>
          </w:p>
        </w:tc>
      </w:tr>
    </w:tbl>
    <w:p w:rsidR="00000000" w:rsidRPr="00464CA9" w:rsidP="00464CA9">
      <w:pPr>
        <w:pStyle w:val="BodyText"/>
      </w:pPr>
    </w:p>
    <w:p w:rsidR="00000000" w:rsidRPr="00464CA9" w:rsidP="00464CA9">
      <w:pPr>
        <w:pStyle w:val="AllowPageBreak"/>
      </w:pPr>
    </w:p>
    <w:p w:rsidR="00000000" w:rsidRPr="00464CA9" w:rsidP="00464CA9">
      <w:pPr>
        <w:pStyle w:val="Heading1"/>
      </w:pPr>
      <w:bookmarkStart w:id="6" w:name="O_951296"/>
      <w:bookmarkEnd w:id="6"/>
      <w:r w:rsidRPr="00464CA9">
        <w:t>Foundation Skills</w:t>
      </w:r>
    </w:p>
    <w:p w:rsidR="00000000" w:rsidRPr="00464CA9" w:rsidP="00261DF1">
      <w:pPr>
        <w:pStyle w:val="BodyText"/>
      </w:pPr>
      <w:r w:rsidRPr="00464CA9">
        <w:t>This section describes those required skills (reading, writing, oral commun</w:t>
      </w:r>
      <w:r w:rsidRPr="00464CA9">
        <w:t xml:space="preserve">ication and numeracy) that are essential to workplace performance in this unit of competency.  </w:t>
      </w:r>
    </w:p>
    <w:p w:rsidR="00000000" w:rsidRPr="00464CA9" w:rsidP="00261DF1">
      <w:pPr>
        <w:pStyle w:val="BodyText"/>
      </w:pPr>
      <w:r w:rsidRPr="00464CA9">
        <w:t>Foundation skills essential to performance are explicit in the performance criteria of this unit of competency.</w:t>
      </w:r>
    </w:p>
    <w:p w:rsidR="00000000" w:rsidRPr="00464CA9" w:rsidP="00464CA9">
      <w:pPr>
        <w:pStyle w:val="Heading1"/>
      </w:pPr>
      <w:bookmarkStart w:id="7" w:name="O_951295"/>
      <w:bookmarkEnd w:id="7"/>
      <w:r w:rsidRPr="00464CA9">
        <w:t>Range of Conditions</w:t>
      </w:r>
    </w:p>
    <w:tbl>
      <w:tblPr>
        <w:tblW w:w="0" w:type="auto"/>
        <w:tblLayout w:type="fixed"/>
        <w:tblCellMar>
          <w:left w:w="62" w:type="dxa"/>
          <w:right w:w="62" w:type="dxa"/>
        </w:tblCellMar>
        <w:tblLook w:val="0000"/>
      </w:tblPr>
      <w:tblGrid>
        <w:gridCol w:w="2641"/>
        <w:gridCol w:w="6501"/>
      </w:tblGrid>
      <w:tr w:rsidTr="00464CA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t>This field</w:t>
            </w:r>
            <w:r w:rsidRPr="00464CA9">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464CA9">
              <w:t>exts) are included.</w:t>
            </w:r>
          </w:p>
        </w:tc>
      </w:tr>
      <w:tr w:rsidTr="00464CA9">
        <w:tblPrEx>
          <w:tblW w:w="0" w:type="auto"/>
          <w:tblLayout w:type="fixed"/>
          <w:tblCellMar>
            <w:left w:w="62" w:type="dxa"/>
            <w:right w:w="62" w:type="dxa"/>
          </w:tblCellMar>
          <w:tblLook w:val="0000"/>
        </w:tblPrEx>
        <w:trPr>
          <w:trHeight w:val="4409"/>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System type and construction</w:t>
            </w:r>
            <w:r w:rsidRPr="00464CA9">
              <w:t xml:space="preserve"> </w:t>
            </w:r>
            <w:r w:rsidRPr="00464CA9">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mechanical self-winding</w:t>
            </w:r>
          </w:p>
          <w:p w:rsidR="00000000" w:rsidRPr="00464CA9" w:rsidP="00464CA9">
            <w:pPr>
              <w:pStyle w:val="ListBullet"/>
            </w:pPr>
            <w:r w:rsidRPr="00464CA9">
              <w:t xml:space="preserve">quartz watch power generation, including: </w:t>
            </w:r>
          </w:p>
          <w:p w:rsidR="00000000" w:rsidRPr="00464CA9" w:rsidP="00464CA9">
            <w:pPr>
              <w:pStyle w:val="ListBullet2"/>
            </w:pPr>
            <w:r w:rsidRPr="00464CA9">
              <w:t xml:space="preserve">kinetic quartz </w:t>
            </w:r>
          </w:p>
          <w:p w:rsidR="00000000" w:rsidRPr="00464CA9" w:rsidP="00464CA9">
            <w:pPr>
              <w:pStyle w:val="ListBullet2"/>
            </w:pPr>
            <w:r w:rsidRPr="00464CA9">
              <w:t>auto quartz</w:t>
            </w:r>
          </w:p>
          <w:p w:rsidR="00000000" w:rsidRPr="00464CA9" w:rsidP="00464CA9">
            <w:pPr>
              <w:pStyle w:val="ListBullet"/>
            </w:pPr>
            <w:r w:rsidRPr="00464CA9">
              <w:t>types of construction, including:</w:t>
            </w:r>
          </w:p>
          <w:p w:rsidR="00000000" w:rsidRPr="00464CA9" w:rsidP="00464CA9">
            <w:pPr>
              <w:pStyle w:val="ListBullet2"/>
            </w:pPr>
            <w:r w:rsidRPr="00464CA9">
              <w:t>rotor</w:t>
            </w:r>
          </w:p>
          <w:p w:rsidR="00000000" w:rsidRPr="00464CA9" w:rsidP="00464CA9">
            <w:pPr>
              <w:pStyle w:val="ListBullet2"/>
            </w:pPr>
            <w:r w:rsidRPr="00464CA9">
              <w:t>buffer</w:t>
            </w:r>
          </w:p>
          <w:p w:rsidR="00000000" w:rsidRPr="00464CA9" w:rsidP="00464CA9">
            <w:pPr>
              <w:pStyle w:val="ListBullet2"/>
            </w:pPr>
            <w:r w:rsidRPr="00464CA9">
              <w:t xml:space="preserve">pedometer </w:t>
            </w:r>
          </w:p>
          <w:p w:rsidR="00000000" w:rsidRPr="00464CA9" w:rsidP="00464CA9">
            <w:pPr>
              <w:pStyle w:val="ListBullet2"/>
            </w:pPr>
            <w:r w:rsidRPr="00464CA9">
              <w:t>case winding</w:t>
            </w:r>
          </w:p>
          <w:p w:rsidR="00000000" w:rsidRPr="00464CA9" w:rsidP="00464CA9">
            <w:pPr>
              <w:pStyle w:val="ListBullet"/>
            </w:pPr>
            <w:r w:rsidRPr="00464CA9">
              <w:t xml:space="preserve">features of construction, including: </w:t>
            </w:r>
          </w:p>
          <w:p w:rsidR="00000000" w:rsidRPr="00464CA9" w:rsidP="00464CA9">
            <w:pPr>
              <w:pStyle w:val="ListBullet2"/>
            </w:pPr>
            <w:r w:rsidRPr="00464CA9">
              <w:t xml:space="preserve">single-way winding </w:t>
            </w:r>
          </w:p>
          <w:p w:rsidR="00000000" w:rsidRPr="00464CA9" w:rsidP="00464CA9">
            <w:pPr>
              <w:pStyle w:val="ListBullet2"/>
            </w:pPr>
            <w:r w:rsidRPr="00464CA9">
              <w:t>two-way winding</w:t>
            </w:r>
          </w:p>
          <w:p w:rsidR="00000000" w:rsidP="00464CA9">
            <w:pPr>
              <w:pStyle w:val="ListBullet"/>
              <w:rPr>
                <w:lang w:val="en-NZ"/>
              </w:rPr>
            </w:pPr>
            <w:r w:rsidRPr="00464CA9">
              <w:t>performance characteristics (constant motive force)</w:t>
            </w:r>
          </w:p>
        </w:tc>
      </w:tr>
      <w:tr w:rsidTr="00464CA9">
        <w:tblPrEx>
          <w:tblW w:w="0" w:type="auto"/>
          <w:tblLayout w:type="fixed"/>
          <w:tblCellMar>
            <w:left w:w="62" w:type="dxa"/>
            <w:right w:w="62" w:type="dxa"/>
          </w:tblCellMar>
          <w:tblLook w:val="0000"/>
        </w:tblPrEx>
        <w:trPr>
          <w:trHeight w:val="1135"/>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Record and document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 xml:space="preserve">extent and date of repair </w:t>
            </w:r>
          </w:p>
          <w:p w:rsidR="00000000" w:rsidRPr="00464CA9" w:rsidP="00464CA9">
            <w:pPr>
              <w:pStyle w:val="ListBullet"/>
            </w:pPr>
            <w:r w:rsidRPr="00464CA9">
              <w:t>cost of replacement part</w:t>
            </w:r>
          </w:p>
          <w:p w:rsidR="00000000" w:rsidP="00464CA9">
            <w:pPr>
              <w:pStyle w:val="ListBullet"/>
              <w:rPr>
                <w:lang w:val="en-NZ"/>
              </w:rPr>
            </w:pPr>
            <w:r w:rsidRPr="00464CA9">
              <w:t xml:space="preserve">time spent on procedure </w:t>
            </w:r>
          </w:p>
        </w:tc>
      </w:tr>
      <w:tr w:rsidTr="00464CA9">
        <w:tblPrEx>
          <w:tblW w:w="0" w:type="auto"/>
          <w:tblLayout w:type="fixed"/>
          <w:tblCellMar>
            <w:left w:w="62" w:type="dxa"/>
            <w:right w:w="62" w:type="dxa"/>
          </w:tblCellMar>
          <w:tblLook w:val="0000"/>
        </w:tblPrEx>
        <w:trPr>
          <w:trHeight w:val="1965"/>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Dismantling and assembly precautions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 xml:space="preserve">sequence of inspection and adjustment of self-winding or quartz generating mechanism </w:t>
            </w:r>
          </w:p>
          <w:p w:rsidR="00000000" w:rsidRPr="00464CA9" w:rsidP="00464CA9">
            <w:pPr>
              <w:pStyle w:val="ListBullet"/>
            </w:pPr>
            <w:r w:rsidRPr="00464CA9">
              <w:t>verification of correct operation of os</w:t>
            </w:r>
            <w:r w:rsidRPr="00464CA9">
              <w:t>cillating weight, reversing wheel and mainspring slipping device</w:t>
            </w:r>
          </w:p>
          <w:p w:rsidR="00000000" w:rsidP="00464CA9">
            <w:pPr>
              <w:pStyle w:val="ListBullet"/>
              <w:rPr>
                <w:lang w:val="en-NZ"/>
              </w:rPr>
            </w:pPr>
            <w:r w:rsidRPr="00464CA9">
              <w:t>correct selection, application and amount of lubrication for self-winding or quartz generating mechanism</w:t>
            </w:r>
          </w:p>
        </w:tc>
      </w:tr>
      <w:tr w:rsidTr="00464CA9">
        <w:tblPrEx>
          <w:tblW w:w="0" w:type="auto"/>
          <w:tblLayout w:type="fixed"/>
          <w:tblCellMar>
            <w:left w:w="62" w:type="dxa"/>
            <w:right w:w="62" w:type="dxa"/>
          </w:tblCellMar>
          <w:tblLook w:val="0000"/>
        </w:tblPrEx>
        <w:trPr>
          <w:trHeight w:val="2826"/>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Faulty or worn component parts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oscillating weight ball bearings</w:t>
            </w:r>
          </w:p>
          <w:p w:rsidR="00000000" w:rsidRPr="00464CA9" w:rsidP="00464CA9">
            <w:pPr>
              <w:pStyle w:val="ListBullet"/>
            </w:pPr>
            <w:r w:rsidRPr="00464CA9">
              <w:t>rotor posts</w:t>
            </w:r>
          </w:p>
          <w:p w:rsidR="00000000" w:rsidRPr="00464CA9" w:rsidP="00464CA9">
            <w:pPr>
              <w:pStyle w:val="ListBullet"/>
            </w:pPr>
            <w:r w:rsidRPr="00464CA9">
              <w:t>reversing wheel pivots</w:t>
            </w:r>
          </w:p>
          <w:p w:rsidR="00000000" w:rsidRPr="00464CA9" w:rsidP="00464CA9">
            <w:pPr>
              <w:pStyle w:val="ListBullet"/>
            </w:pPr>
            <w:r w:rsidRPr="00464CA9">
              <w:t>clicks</w:t>
            </w:r>
          </w:p>
          <w:p w:rsidR="00000000" w:rsidRPr="00464CA9" w:rsidP="00464CA9">
            <w:pPr>
              <w:pStyle w:val="ListBullet"/>
            </w:pPr>
            <w:r w:rsidRPr="00464CA9">
              <w:t>slipping bridle</w:t>
            </w:r>
          </w:p>
          <w:p w:rsidR="00000000" w:rsidRPr="00464CA9" w:rsidP="00464CA9">
            <w:pPr>
              <w:pStyle w:val="ListBullet"/>
            </w:pPr>
            <w:r w:rsidRPr="00464CA9">
              <w:t>driving gear</w:t>
            </w:r>
          </w:p>
          <w:p w:rsidR="00000000" w:rsidRPr="00464CA9" w:rsidP="00464CA9">
            <w:pPr>
              <w:pStyle w:val="ListBullet"/>
            </w:pPr>
            <w:r w:rsidRPr="00464CA9">
              <w:t>friction clutch</w:t>
            </w:r>
          </w:p>
          <w:p w:rsidR="00000000" w:rsidP="00464CA9">
            <w:pPr>
              <w:pStyle w:val="ListBullet"/>
              <w:rPr>
                <w:lang w:val="en-NZ"/>
              </w:rPr>
            </w:pPr>
            <w:r w:rsidRPr="00464CA9">
              <w:t>generating rotor</w:t>
            </w:r>
          </w:p>
        </w:tc>
      </w:tr>
      <w:tr w:rsidTr="00464CA9">
        <w:tblPrEx>
          <w:tblW w:w="0" w:type="auto"/>
          <w:tblLayout w:type="fixed"/>
          <w:tblCellMar>
            <w:left w:w="62" w:type="dxa"/>
            <w:right w:w="62" w:type="dxa"/>
          </w:tblCellMar>
          <w:tblLook w:val="0000"/>
        </w:tblPrEx>
        <w:trPr>
          <w:trHeight w:val="1510"/>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Self-winding or quartz generating</w:t>
            </w:r>
            <w:r w:rsidRPr="00464CA9">
              <w:t xml:space="preserve"> </w:t>
            </w:r>
            <w:r w:rsidRPr="00464CA9">
              <w:rPr>
                <w:rStyle w:val="SpecialBold"/>
              </w:rPr>
              <w:t>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oscillating weights and rotor</w:t>
            </w:r>
          </w:p>
          <w:p w:rsidR="00000000" w:rsidRPr="00464CA9" w:rsidP="00464CA9">
            <w:pPr>
              <w:pStyle w:val="ListBullet"/>
            </w:pPr>
            <w:r w:rsidRPr="00464CA9">
              <w:t>transmissions, reverser wheels and wig wag</w:t>
            </w:r>
          </w:p>
          <w:p w:rsidR="00000000" w:rsidRPr="00464CA9" w:rsidP="00464CA9">
            <w:pPr>
              <w:pStyle w:val="ListBullet"/>
            </w:pPr>
            <w:r w:rsidRPr="00464CA9">
              <w:t xml:space="preserve">mainspring and barrel </w:t>
            </w:r>
          </w:p>
          <w:p w:rsidR="00000000" w:rsidP="00464CA9">
            <w:pPr>
              <w:pStyle w:val="ListBullet"/>
              <w:rPr>
                <w:lang w:val="en-NZ"/>
              </w:rPr>
            </w:pPr>
            <w:r w:rsidRPr="00464CA9">
              <w:t>slipping devices</w:t>
            </w:r>
          </w:p>
        </w:tc>
      </w:tr>
      <w:tr w:rsidTr="00464CA9">
        <w:tblPrEx>
          <w:tblW w:w="0" w:type="auto"/>
          <w:tblLayout w:type="fixed"/>
          <w:tblCellMar>
            <w:left w:w="62" w:type="dxa"/>
            <w:right w:w="62" w:type="dxa"/>
          </w:tblCellMar>
          <w:tblLook w:val="0000"/>
        </w:tblPrEx>
        <w:trPr>
          <w:trHeight w:val="1275"/>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Watch performance</w:t>
            </w:r>
            <w:r w:rsidRPr="00464CA9">
              <w:t>/</w:t>
            </w:r>
            <w:r w:rsidRPr="00464CA9">
              <w:rPr>
                <w:rStyle w:val="SpecialBold"/>
              </w:rPr>
              <w:t>rate testing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beat error diagnosis and adjustment</w:t>
            </w:r>
          </w:p>
          <w:p w:rsidR="00000000" w:rsidRPr="00464CA9" w:rsidP="00464CA9">
            <w:pPr>
              <w:pStyle w:val="ListBullet"/>
            </w:pPr>
            <w:r w:rsidRPr="00464CA9">
              <w:t>rate adjustment</w:t>
            </w:r>
          </w:p>
          <w:p w:rsidR="00000000" w:rsidP="00464CA9">
            <w:pPr>
              <w:pStyle w:val="ListBullet"/>
              <w:rPr>
                <w:lang w:val="en-NZ"/>
              </w:rPr>
            </w:pPr>
            <w:r w:rsidRPr="00464CA9">
              <w:t>amplitude</w:t>
            </w:r>
          </w:p>
        </w:tc>
      </w:tr>
      <w:tr w:rsidTr="00464CA9">
        <w:tblPrEx>
          <w:tblW w:w="0" w:type="auto"/>
          <w:tblLayout w:type="fixed"/>
          <w:tblCellMar>
            <w:left w:w="62" w:type="dxa"/>
            <w:right w:w="62" w:type="dxa"/>
          </w:tblCellMar>
          <w:tblLook w:val="0000"/>
        </w:tblPrEx>
        <w:trPr>
          <w:trHeight w:val="1199"/>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Wear and power generation tests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 xml:space="preserve">machine simulation wear test </w:t>
            </w:r>
          </w:p>
          <w:p w:rsidR="00000000" w:rsidRPr="00464CA9" w:rsidP="00464CA9">
            <w:pPr>
              <w:pStyle w:val="ListBullet"/>
            </w:pPr>
            <w:r w:rsidRPr="00464CA9">
              <w:t>testing by wrist wearing</w:t>
            </w:r>
          </w:p>
          <w:p w:rsidR="00000000" w:rsidP="00464CA9">
            <w:pPr>
              <w:pStyle w:val="ListBullet"/>
              <w:rPr>
                <w:lang w:val="en-NZ"/>
              </w:rPr>
            </w:pPr>
            <w:r w:rsidRPr="00464CA9">
              <w:t>kinetic voltage test</w:t>
            </w:r>
          </w:p>
        </w:tc>
      </w:tr>
      <w:tr w:rsidTr="00464CA9">
        <w:tblPrEx>
          <w:tblW w:w="0" w:type="auto"/>
          <w:tblLayout w:type="fixed"/>
          <w:tblCellMar>
            <w:left w:w="62" w:type="dxa"/>
            <w:right w:w="62" w:type="dxa"/>
          </w:tblCellMar>
          <w:tblLook w:val="0000"/>
        </w:tblPrEx>
        <w:trPr>
          <w:trHeight w:val="1488"/>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Hand tools and equipment include one (1) or more of the following:</w:t>
            </w:r>
            <w:r w:rsidRPr="00464CA9">
              <w:t xml:space="preserve"> </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timing machine</w:t>
            </w:r>
          </w:p>
          <w:p w:rsidR="00000000" w:rsidRPr="00464CA9" w:rsidP="00464CA9">
            <w:pPr>
              <w:pStyle w:val="ListBullet"/>
            </w:pPr>
            <w:r w:rsidRPr="00464CA9">
              <w:t>mainspring winders</w:t>
            </w:r>
          </w:p>
          <w:p w:rsidR="00000000" w:rsidRPr="00464CA9" w:rsidP="00464CA9">
            <w:pPr>
              <w:pStyle w:val="ListBullet"/>
            </w:pPr>
            <w:r w:rsidRPr="00464CA9">
              <w:t>c</w:t>
            </w:r>
            <w:r w:rsidRPr="00464CA9">
              <w:t>yclomat</w:t>
            </w:r>
          </w:p>
          <w:p w:rsidR="00000000" w:rsidP="00464CA9">
            <w:pPr>
              <w:pStyle w:val="ListBullet"/>
              <w:rPr>
                <w:lang w:val="en-NZ"/>
              </w:rPr>
            </w:pPr>
            <w:r w:rsidRPr="00464CA9">
              <w:t>case opening and closing tools</w:t>
            </w:r>
          </w:p>
        </w:tc>
      </w:tr>
      <w:tr w:rsidTr="00464CA9">
        <w:tblPrEx>
          <w:tblW w:w="0" w:type="auto"/>
          <w:tblLayout w:type="fixed"/>
          <w:tblCellMar>
            <w:left w:w="62" w:type="dxa"/>
            <w:right w:w="62" w:type="dxa"/>
          </w:tblCellMar>
          <w:tblLook w:val="0000"/>
        </w:tblPrEx>
        <w:trPr>
          <w:trHeight w:val="1488"/>
        </w:trPr>
        <w:tc>
          <w:tcPr>
            <w:tcW w:w="2641" w:type="dxa"/>
            <w:tcBorders>
              <w:top w:val="nil"/>
              <w:left w:val="nil"/>
              <w:bottom w:val="nil"/>
              <w:right w:val="nil"/>
            </w:tcBorders>
            <w:tcMar>
              <w:top w:w="0" w:type="dxa"/>
              <w:left w:w="62" w:type="dxa"/>
              <w:bottom w:w="0" w:type="dxa"/>
              <w:right w:w="62" w:type="dxa"/>
            </w:tcMar>
          </w:tcPr>
          <w:p w:rsidR="00000000" w:rsidP="00464CA9">
            <w:pPr>
              <w:pStyle w:val="BodyText"/>
              <w:rPr>
                <w:lang w:val="en-NZ"/>
              </w:rPr>
            </w:pPr>
            <w:r w:rsidRPr="00464CA9">
              <w:rPr>
                <w:rStyle w:val="SpecialBold"/>
              </w:rPr>
              <w:t>Appropriate working environment</w:t>
            </w:r>
            <w:r w:rsidRPr="00464CA9">
              <w:t xml:space="preserve"> </w:t>
            </w:r>
            <w:r w:rsidRPr="00464CA9">
              <w:rPr>
                <w:rStyle w:val="SpecialBold"/>
              </w:rPr>
              <w:t>includes the following:</w:t>
            </w:r>
          </w:p>
        </w:tc>
        <w:tc>
          <w:tcPr>
            <w:tcW w:w="6501" w:type="dxa"/>
            <w:tcBorders>
              <w:top w:val="nil"/>
              <w:left w:val="nil"/>
              <w:bottom w:val="nil"/>
              <w:right w:val="nil"/>
            </w:tcBorders>
            <w:tcMar>
              <w:top w:w="0" w:type="dxa"/>
              <w:left w:w="62" w:type="dxa"/>
              <w:bottom w:w="0" w:type="dxa"/>
              <w:right w:w="62" w:type="dxa"/>
            </w:tcMar>
          </w:tcPr>
          <w:p w:rsidR="00000000" w:rsidRPr="00464CA9" w:rsidP="00464CA9">
            <w:pPr>
              <w:pStyle w:val="ListBullet"/>
            </w:pPr>
            <w:r w:rsidRPr="00464CA9">
              <w:t>clean bench and working area</w:t>
            </w:r>
          </w:p>
          <w:p w:rsidR="00000000" w:rsidRPr="00464CA9" w:rsidP="00464CA9">
            <w:pPr>
              <w:pStyle w:val="ListBullet"/>
            </w:pPr>
            <w:r w:rsidRPr="00464CA9">
              <w:t>adequate lighting and ventilation</w:t>
            </w:r>
          </w:p>
          <w:p w:rsidR="00000000" w:rsidRPr="00464CA9" w:rsidP="00464CA9">
            <w:pPr>
              <w:pStyle w:val="ListBullet"/>
            </w:pPr>
            <w:r w:rsidRPr="00464CA9">
              <w:t>organised tools and equipment</w:t>
            </w:r>
          </w:p>
          <w:p w:rsidR="00000000" w:rsidRPr="00464CA9" w:rsidP="00464CA9">
            <w:pPr>
              <w:pStyle w:val="ListBullet"/>
            </w:pPr>
            <w:r w:rsidRPr="00464CA9">
              <w:t>ergonomic seating</w:t>
            </w:r>
          </w:p>
        </w:tc>
      </w:tr>
    </w:tbl>
    <w:p w:rsidR="00000000" w:rsidRPr="00464CA9" w:rsidP="00464CA9">
      <w:pPr>
        <w:pStyle w:val="BodyText"/>
      </w:pPr>
    </w:p>
    <w:p w:rsidR="00000000" w:rsidRPr="00464CA9" w:rsidP="00464CA9">
      <w:pPr>
        <w:pStyle w:val="AllowPageBreak"/>
      </w:pPr>
    </w:p>
    <w:p w:rsidR="00000000" w:rsidRPr="00464CA9" w:rsidP="00464CA9">
      <w:pPr>
        <w:pStyle w:val="Heading1"/>
      </w:pPr>
      <w:bookmarkStart w:id="8" w:name="O_951294"/>
      <w:bookmarkEnd w:id="8"/>
      <w:r w:rsidRPr="00464CA9">
        <w:t>Unit Mapping Information</w:t>
      </w:r>
    </w:p>
    <w:p w:rsidR="00000000" w:rsidRPr="00464CA9" w:rsidP="00261DF1">
      <w:pPr>
        <w:pStyle w:val="BodyText"/>
      </w:pPr>
      <w:r w:rsidRPr="00464CA9">
        <w:t xml:space="preserve">Release 1. Supersedes and is equivalent to MEM21010A Service watch power generating systems </w:t>
      </w:r>
    </w:p>
    <w:p w:rsidR="00000000" w:rsidRPr="00464CA9" w:rsidP="00464CA9">
      <w:pPr>
        <w:pStyle w:val="Heading1"/>
      </w:pPr>
      <w:bookmarkStart w:id="9" w:name="O_951287"/>
      <w:bookmarkEnd w:id="9"/>
      <w:r w:rsidRPr="00464CA9">
        <w:t>Links</w:t>
      </w:r>
    </w:p>
    <w:p w:rsidR="00000000" w:rsidRPr="00464CA9" w:rsidP="00261DF1">
      <w:pPr>
        <w:pStyle w:val="BodyText"/>
      </w:pPr>
      <w:r w:rsidRPr="00464CA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77EFE">
        <w:rPr>
          <w:rStyle w:val="Hyperlink"/>
        </w:rPr>
        <w:t>https://vetnet.gov.au/Pages/TrainingDocs.aspx?q=b7050d37-5fd0-4740-8f7d-3b7a49c10bb2</w:t>
      </w:r>
      <w:r>
        <w:fldChar w:fldCharType="end"/>
      </w:r>
    </w:p>
    <w:p w:rsidR="00000000" w:rsidRPr="00464CA9" w:rsidP="00464CA9"/>
    <w:sectPr w:rsidSect="00464C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A9" w:rsidRPr="00261DF1" w:rsidP="00261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F1" w:rsidP="00464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1DF1" w:rsidP="00464C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1DF1" w:rsidP="00464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CA9" w:rsidRPr="00261DF1" w:rsidP="00261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F1" w:rsidRPr="002D2AF8" w:rsidP="00464CA9">
    <w:pPr>
      <w:pStyle w:val="Header"/>
      <w:framePr w:wrap="around"/>
    </w:pPr>
    <w:r>
      <w:fldChar w:fldCharType="begin"/>
    </w:r>
    <w:r>
      <w:instrText xml:space="preserve"> TITLE   \* MERGEFORMAT </w:instrText>
    </w:r>
    <w:r>
      <w:fldChar w:fldCharType="separate"/>
    </w:r>
    <w:r>
      <w:t>MEM21010 Service watch power generating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61DF1" w:rsidP="00464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89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25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05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CA9"/>
    <w:pPr>
      <w:spacing w:before="360" w:after="60"/>
      <w:outlineLvl w:val="0"/>
    </w:pPr>
    <w:rPr>
      <w:sz w:val="32"/>
    </w:rPr>
  </w:style>
  <w:style w:type="paragraph" w:styleId="Heading2">
    <w:name w:val="heading 2"/>
    <w:basedOn w:val="HeadingBase"/>
    <w:next w:val="BodyText"/>
    <w:link w:val="Heading2Char"/>
    <w:qFormat/>
    <w:rsid w:val="00464CA9"/>
    <w:pPr>
      <w:keepLines/>
      <w:spacing w:before="240" w:after="120"/>
      <w:outlineLvl w:val="1"/>
    </w:pPr>
    <w:rPr>
      <w:sz w:val="28"/>
      <w:szCs w:val="40"/>
    </w:rPr>
  </w:style>
  <w:style w:type="paragraph" w:styleId="Heading3">
    <w:name w:val="heading 3"/>
    <w:basedOn w:val="HeadingBase"/>
    <w:next w:val="BodyText"/>
    <w:link w:val="Heading3Char"/>
    <w:qFormat/>
    <w:rsid w:val="00464CA9"/>
    <w:pPr>
      <w:spacing w:before="180" w:after="120"/>
      <w:outlineLvl w:val="2"/>
    </w:pPr>
    <w:rPr>
      <w:spacing w:val="-10"/>
      <w:kern w:val="32"/>
    </w:rPr>
  </w:style>
  <w:style w:type="paragraph" w:styleId="Heading4">
    <w:name w:val="heading 4"/>
    <w:basedOn w:val="HeadingBase"/>
    <w:next w:val="BodyText"/>
    <w:link w:val="Heading4Char"/>
    <w:qFormat/>
    <w:rsid w:val="00464CA9"/>
    <w:pPr>
      <w:spacing w:before="160" w:after="120"/>
      <w:outlineLvl w:val="3"/>
    </w:pPr>
    <w:rPr>
      <w:sz w:val="22"/>
    </w:rPr>
  </w:style>
  <w:style w:type="paragraph" w:styleId="Heading5">
    <w:name w:val="heading 5"/>
    <w:basedOn w:val="HeadingBase"/>
    <w:next w:val="Normal"/>
    <w:link w:val="Heading5Char"/>
    <w:qFormat/>
    <w:rsid w:val="00464CA9"/>
    <w:pPr>
      <w:spacing w:before="80"/>
      <w:outlineLvl w:val="4"/>
    </w:pPr>
    <w:rPr>
      <w:color w:val="918585"/>
      <w:sz w:val="20"/>
    </w:rPr>
  </w:style>
  <w:style w:type="paragraph" w:styleId="Heading6">
    <w:name w:val="heading 6"/>
    <w:basedOn w:val="HeadingBase"/>
    <w:next w:val="Normal"/>
    <w:link w:val="Heading6Char"/>
    <w:qFormat/>
    <w:rsid w:val="00464CA9"/>
    <w:pPr>
      <w:spacing w:before="60"/>
      <w:outlineLvl w:val="5"/>
    </w:pPr>
    <w:rPr>
      <w:color w:val="918585"/>
      <w:sz w:val="20"/>
    </w:rPr>
  </w:style>
  <w:style w:type="paragraph" w:styleId="Heading7">
    <w:name w:val="heading 7"/>
    <w:basedOn w:val="Normal"/>
    <w:next w:val="Normal"/>
    <w:link w:val="Heading7Char"/>
    <w:qFormat/>
    <w:rsid w:val="00464CA9"/>
    <w:pPr>
      <w:ind w:left="720"/>
      <w:outlineLvl w:val="6"/>
    </w:pPr>
    <w:rPr>
      <w:i/>
    </w:rPr>
  </w:style>
  <w:style w:type="paragraph" w:styleId="Heading8">
    <w:name w:val="heading 8"/>
    <w:basedOn w:val="Normal"/>
    <w:next w:val="Normal"/>
    <w:link w:val="Heading8Char"/>
    <w:qFormat/>
    <w:rsid w:val="00464CA9"/>
    <w:pPr>
      <w:ind w:left="720"/>
      <w:outlineLvl w:val="7"/>
    </w:pPr>
    <w:rPr>
      <w:i/>
    </w:rPr>
  </w:style>
  <w:style w:type="paragraph" w:styleId="Heading9">
    <w:name w:val="heading 9"/>
    <w:basedOn w:val="Normal"/>
    <w:next w:val="Normal"/>
    <w:link w:val="Heading9Char"/>
    <w:qFormat/>
    <w:rsid w:val="00464CA9"/>
    <w:pPr>
      <w:ind w:left="720"/>
      <w:outlineLvl w:val="8"/>
    </w:pPr>
    <w:rPr>
      <w:i/>
    </w:rPr>
  </w:style>
  <w:style w:type="character" w:default="1" w:styleId="DefaultParagraphFont">
    <w:name w:val="Default Paragraph Font"/>
    <w:uiPriority w:val="1"/>
    <w:unhideWhenUsed/>
    <w:rsid w:val="00464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CA9"/>
  </w:style>
  <w:style w:type="character" w:customStyle="1" w:styleId="Heading1Char">
    <w:name w:val="Heading 1 Char"/>
    <w:basedOn w:val="DefaultParagraphFont"/>
    <w:link w:val="Heading1"/>
    <w:rsid w:val="00464CA9"/>
    <w:rPr>
      <w:rFonts w:ascii="Times New Roman" w:eastAsia="Times New Roman" w:hAnsi="Times New Roman" w:cs="Times New Roman"/>
      <w:b/>
      <w:sz w:val="32"/>
      <w:szCs w:val="20"/>
      <w:lang w:eastAsia="en-US"/>
    </w:rPr>
  </w:style>
  <w:style w:type="paragraph" w:styleId="BodyText">
    <w:name w:val="Body Text"/>
    <w:basedOn w:val="Normal"/>
    <w:link w:val="BodyTextChar"/>
    <w:rsid w:val="00464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CA9"/>
    <w:rPr>
      <w:rFonts w:ascii="Times New Roman" w:eastAsia="Times New Roman" w:hAnsi="Times New Roman" w:cs="Times New Roman"/>
      <w:sz w:val="24"/>
      <w:lang w:eastAsia="en-US"/>
    </w:rPr>
  </w:style>
  <w:style w:type="paragraph" w:styleId="ListBullet">
    <w:name w:val="List Bullet"/>
    <w:basedOn w:val="List"/>
    <w:rsid w:val="00464CA9"/>
    <w:pPr>
      <w:numPr>
        <w:numId w:val="12"/>
      </w:numPr>
      <w:tabs>
        <w:tab w:val="clear" w:pos="340"/>
      </w:tabs>
      <w:spacing w:before="40" w:after="40"/>
    </w:pPr>
  </w:style>
  <w:style w:type="character" w:customStyle="1" w:styleId="SpecialBold">
    <w:name w:val="Special Bold"/>
    <w:basedOn w:val="DefaultParagraphFont"/>
    <w:rsid w:val="00464CA9"/>
    <w:rPr>
      <w:b/>
      <w:spacing w:val="0"/>
    </w:rPr>
  </w:style>
  <w:style w:type="paragraph" w:styleId="ListBullet2">
    <w:name w:val="List Bullet 2"/>
    <w:basedOn w:val="List2"/>
    <w:rsid w:val="00464CA9"/>
    <w:pPr>
      <w:numPr>
        <w:numId w:val="13"/>
      </w:numPr>
      <w:tabs>
        <w:tab w:val="clear" w:pos="680"/>
      </w:tabs>
    </w:pPr>
  </w:style>
  <w:style w:type="paragraph" w:customStyle="1" w:styleId="SuperHeading">
    <w:name w:val="SuperHeading"/>
    <w:basedOn w:val="Normal"/>
    <w:rsid w:val="00464CA9"/>
    <w:pPr>
      <w:spacing w:before="240" w:after="120"/>
      <w:outlineLvl w:val="0"/>
    </w:pPr>
    <w:rPr>
      <w:rFonts w:ascii="Times New Roman" w:hAnsi="Times New Roman"/>
      <w:b/>
      <w:sz w:val="32"/>
    </w:rPr>
  </w:style>
  <w:style w:type="paragraph" w:customStyle="1" w:styleId="AllowPageBreak">
    <w:name w:val="AllowPageBreak"/>
    <w:rsid w:val="00464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CA9"/>
    <w:rPr>
      <w:rFonts w:ascii="Courier New" w:eastAsia="Times New Roman" w:hAnsi="Courier New" w:cs="Times New Roman"/>
      <w:i/>
      <w:szCs w:val="20"/>
      <w:lang w:eastAsia="en-US"/>
    </w:rPr>
  </w:style>
  <w:style w:type="paragraph" w:customStyle="1" w:styleId="HeadingBase">
    <w:name w:val="Heading Base"/>
    <w:rsid w:val="00464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CA9"/>
    <w:pPr>
      <w:tabs>
        <w:tab w:val="right" w:leader="dot" w:pos="9072"/>
      </w:tabs>
      <w:ind w:left="567"/>
    </w:pPr>
    <w:rPr>
      <w:szCs w:val="22"/>
    </w:rPr>
  </w:style>
  <w:style w:type="paragraph" w:customStyle="1" w:styleId="TOCBase">
    <w:name w:val="TOC Base"/>
    <w:rsid w:val="00464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CA9"/>
    <w:pPr>
      <w:tabs>
        <w:tab w:val="right" w:leader="dot" w:pos="9072"/>
      </w:tabs>
      <w:spacing w:before="40" w:after="40"/>
      <w:ind w:left="284"/>
    </w:pPr>
    <w:rPr>
      <w:rFonts w:ascii="Times New Roman" w:hAnsi="Times New Roman"/>
    </w:rPr>
  </w:style>
  <w:style w:type="paragraph" w:styleId="TOC1">
    <w:name w:val="toc 1"/>
    <w:basedOn w:val="TOCBase"/>
    <w:next w:val="Normal"/>
    <w:rsid w:val="00464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CA9"/>
    <w:rPr>
      <w:rFonts w:ascii="Times New Roman" w:eastAsia="Times New Roman" w:hAnsi="Times New Roman" w:cs="Times New Roman"/>
      <w:sz w:val="16"/>
      <w:lang w:eastAsia="en-US"/>
    </w:rPr>
  </w:style>
  <w:style w:type="paragraph" w:styleId="Title">
    <w:name w:val="Title"/>
    <w:basedOn w:val="HeadingBase"/>
    <w:link w:val="TitleChar"/>
    <w:qFormat/>
    <w:rsid w:val="00464CA9"/>
    <w:pPr>
      <w:spacing w:before="5040"/>
      <w:jc w:val="center"/>
    </w:pPr>
    <w:rPr>
      <w:sz w:val="48"/>
      <w:szCs w:val="72"/>
      <w:lang w:val="en-US"/>
    </w:rPr>
  </w:style>
  <w:style w:type="character" w:customStyle="1" w:styleId="TitleChar">
    <w:name w:val="Title Char"/>
    <w:basedOn w:val="DefaultParagraphFont"/>
    <w:link w:val="Title"/>
    <w:rsid w:val="00464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CA9"/>
    <w:pPr>
      <w:tabs>
        <w:tab w:val="left" w:pos="3600"/>
        <w:tab w:val="left" w:pos="3958"/>
      </w:tabs>
    </w:pPr>
  </w:style>
  <w:style w:type="paragraph" w:styleId="List">
    <w:name w:val="List"/>
    <w:basedOn w:val="BodyText"/>
    <w:next w:val="BodyText"/>
    <w:rsid w:val="00464CA9"/>
    <w:pPr>
      <w:tabs>
        <w:tab w:val="left" w:pos="340"/>
      </w:tabs>
      <w:spacing w:before="60" w:after="60"/>
      <w:ind w:left="340" w:hanging="340"/>
    </w:pPr>
  </w:style>
  <w:style w:type="paragraph" w:customStyle="1" w:styleId="Note">
    <w:name w:val="Note"/>
    <w:basedOn w:val="BodyText"/>
    <w:rsid w:val="00464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CA9"/>
    <w:pPr>
      <w:framePr w:wrap="auto" w:hAnchor="text" w:y="6049"/>
    </w:pPr>
    <w:rPr>
      <w:color w:val="000000"/>
      <w:sz w:val="40"/>
    </w:rPr>
  </w:style>
  <w:style w:type="paragraph" w:customStyle="1" w:styleId="TOCTitle">
    <w:name w:val="TOCTitle"/>
    <w:basedOn w:val="Heading1"/>
    <w:rsid w:val="00464CA9"/>
    <w:pPr>
      <w:spacing w:after="240"/>
      <w:jc w:val="center"/>
      <w:outlineLvl w:val="9"/>
    </w:pPr>
    <w:rPr>
      <w:caps/>
    </w:rPr>
  </w:style>
  <w:style w:type="paragraph" w:customStyle="1" w:styleId="Version">
    <w:name w:val="Version"/>
    <w:rsid w:val="00464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CA9"/>
    <w:pPr>
      <w:keepNext w:val="0"/>
      <w:tabs>
        <w:tab w:val="right" w:pos="4176"/>
      </w:tabs>
      <w:ind w:left="198" w:hanging="198"/>
    </w:pPr>
    <w:rPr>
      <w:rFonts w:ascii="Garamond" w:hAnsi="Garamond"/>
    </w:rPr>
  </w:style>
  <w:style w:type="paragraph" w:styleId="IndexHeading">
    <w:name w:val="index heading"/>
    <w:basedOn w:val="Normal"/>
    <w:next w:val="Index1"/>
    <w:semiHidden/>
    <w:rsid w:val="00464CA9"/>
    <w:pPr>
      <w:spacing w:before="120" w:after="120"/>
    </w:pPr>
    <w:rPr>
      <w:rFonts w:ascii="Arial" w:hAnsi="Arial"/>
      <w:b/>
      <w:color w:val="918585"/>
      <w:sz w:val="24"/>
    </w:rPr>
  </w:style>
  <w:style w:type="paragraph" w:styleId="Header">
    <w:name w:val="header"/>
    <w:basedOn w:val="Normal"/>
    <w:link w:val="HeaderChar"/>
    <w:rsid w:val="00464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CA9"/>
    <w:rPr>
      <w:rFonts w:ascii="Times New Roman" w:eastAsia="Times New Roman" w:hAnsi="Times New Roman" w:cs="Times New Roman"/>
      <w:sz w:val="16"/>
      <w:szCs w:val="20"/>
      <w:lang w:val="en-GB" w:eastAsia="en-US"/>
    </w:rPr>
  </w:style>
  <w:style w:type="paragraph" w:customStyle="1" w:styleId="Chapter">
    <w:name w:val="Chapter"/>
    <w:basedOn w:val="Normal"/>
    <w:rsid w:val="00464CA9"/>
    <w:pPr>
      <w:spacing w:before="240"/>
    </w:pPr>
    <w:rPr>
      <w:rFonts w:ascii="Times New Roman" w:hAnsi="Times New Roman"/>
      <w:smallCaps/>
      <w:spacing w:val="80"/>
      <w:sz w:val="28"/>
    </w:rPr>
  </w:style>
  <w:style w:type="paragraph" w:customStyle="1" w:styleId="InChapter">
    <w:name w:val="InChapter"/>
    <w:basedOn w:val="Heading3"/>
    <w:rsid w:val="00464CA9"/>
    <w:pPr>
      <w:spacing w:after="240"/>
      <w:outlineLvl w:val="9"/>
    </w:pPr>
    <w:rPr>
      <w:noProof/>
    </w:rPr>
  </w:style>
  <w:style w:type="paragraph" w:styleId="Index2">
    <w:name w:val="index 2"/>
    <w:basedOn w:val="Normal"/>
    <w:next w:val="Normal"/>
    <w:semiHidden/>
    <w:rsid w:val="00464CA9"/>
    <w:pPr>
      <w:tabs>
        <w:tab w:val="right" w:pos="4176"/>
      </w:tabs>
      <w:ind w:left="568" w:hanging="284"/>
    </w:pPr>
    <w:rPr>
      <w:rFonts w:ascii="Garamond" w:hAnsi="Garamond"/>
    </w:rPr>
  </w:style>
  <w:style w:type="paragraph" w:customStyle="1" w:styleId="Byline">
    <w:name w:val="Byline"/>
    <w:rsid w:val="00464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CA9"/>
    <w:pPr>
      <w:tabs>
        <w:tab w:val="clear" w:pos="3600"/>
        <w:tab w:val="clear" w:pos="3958"/>
      </w:tabs>
      <w:jc w:val="right"/>
    </w:pPr>
  </w:style>
  <w:style w:type="character" w:styleId="Emphasis">
    <w:name w:val="Emphasis"/>
    <w:basedOn w:val="DefaultParagraphFont"/>
    <w:qFormat/>
    <w:rsid w:val="00464CA9"/>
    <w:rPr>
      <w:i/>
    </w:rPr>
  </w:style>
  <w:style w:type="paragraph" w:styleId="Caption">
    <w:name w:val="caption"/>
    <w:basedOn w:val="BodyText"/>
    <w:next w:val="Normal"/>
    <w:qFormat/>
    <w:rsid w:val="00464CA9"/>
    <w:pPr>
      <w:framePr w:w="2268" w:hSpace="181" w:vSpace="181" w:wrap="around" w:vAnchor="text" w:hAnchor="page" w:x="1135" w:y="285" w:anchorLock="1"/>
    </w:pPr>
    <w:rPr>
      <w:i/>
    </w:rPr>
  </w:style>
  <w:style w:type="paragraph" w:customStyle="1" w:styleId="MiniTOCTitle">
    <w:name w:val="MiniTOCTitle"/>
    <w:basedOn w:val="Heading4"/>
    <w:rsid w:val="00464CA9"/>
    <w:pPr>
      <w:spacing w:before="240"/>
      <w:outlineLvl w:val="9"/>
    </w:pPr>
    <w:rPr>
      <w:noProof/>
      <w:sz w:val="24"/>
    </w:rPr>
  </w:style>
  <w:style w:type="paragraph" w:customStyle="1" w:styleId="MiniTOCItem">
    <w:name w:val="MiniTOCItem"/>
    <w:basedOn w:val="ListBullet"/>
    <w:rsid w:val="00464CA9"/>
    <w:pPr>
      <w:numPr>
        <w:numId w:val="0"/>
      </w:numPr>
      <w:tabs>
        <w:tab w:val="right" w:leader="dot" w:pos="6521"/>
      </w:tabs>
      <w:spacing w:before="0" w:after="0"/>
    </w:pPr>
  </w:style>
  <w:style w:type="paragraph" w:customStyle="1" w:styleId="TOFTitle">
    <w:name w:val="TOFTitle"/>
    <w:basedOn w:val="TOCTitle"/>
    <w:rsid w:val="00464CA9"/>
  </w:style>
  <w:style w:type="paragraph" w:styleId="TableofFigures">
    <w:name w:val="table of figures"/>
    <w:basedOn w:val="Normal"/>
    <w:next w:val="Normal"/>
    <w:semiHidden/>
    <w:rsid w:val="00464CA9"/>
    <w:pPr>
      <w:tabs>
        <w:tab w:val="right" w:leader="dot" w:pos="9072"/>
      </w:tabs>
      <w:ind w:left="970" w:hanging="403"/>
    </w:pPr>
    <w:rPr>
      <w:rFonts w:ascii="Times New Roman" w:hAnsi="Times New Roman"/>
      <w:b/>
    </w:rPr>
  </w:style>
  <w:style w:type="paragraph" w:styleId="ListNumber">
    <w:name w:val="List Number"/>
    <w:basedOn w:val="List"/>
    <w:rsid w:val="00464CA9"/>
    <w:pPr>
      <w:numPr>
        <w:numId w:val="15"/>
      </w:numPr>
      <w:tabs>
        <w:tab w:val="clear" w:pos="340"/>
      </w:tabs>
    </w:pPr>
  </w:style>
  <w:style w:type="character" w:customStyle="1" w:styleId="WingdingSymbols">
    <w:name w:val="Wingding Symbols"/>
    <w:rsid w:val="00464CA9"/>
    <w:rPr>
      <w:rFonts w:ascii="Wingdings" w:hAnsi="Wingdings"/>
    </w:rPr>
  </w:style>
  <w:style w:type="paragraph" w:customStyle="1" w:styleId="TableHeading">
    <w:name w:val="Table Heading"/>
    <w:basedOn w:val="HeadingBase"/>
    <w:rsid w:val="00464CA9"/>
    <w:pPr>
      <w:keepLines/>
      <w:pBdr>
        <w:bottom w:val="single" w:sz="6" w:space="1" w:color="918585"/>
      </w:pBdr>
      <w:spacing w:before="240"/>
    </w:pPr>
  </w:style>
  <w:style w:type="character" w:customStyle="1" w:styleId="HotSpot">
    <w:name w:val="HotSpot"/>
    <w:rsid w:val="00464CA9"/>
    <w:rPr>
      <w:color w:val="0033CC"/>
      <w:u w:val="none"/>
    </w:rPr>
  </w:style>
  <w:style w:type="paragraph" w:customStyle="1" w:styleId="BodyTextRight">
    <w:name w:val="Body Text Right"/>
    <w:basedOn w:val="BodyText"/>
    <w:rsid w:val="00464CA9"/>
    <w:pPr>
      <w:spacing w:before="0" w:after="0"/>
      <w:jc w:val="right"/>
    </w:pPr>
  </w:style>
  <w:style w:type="paragraph" w:styleId="Index3">
    <w:name w:val="index 3"/>
    <w:basedOn w:val="ListNumber2"/>
    <w:next w:val="Normal"/>
    <w:semiHidden/>
    <w:rsid w:val="00464CA9"/>
    <w:pPr>
      <w:numPr>
        <w:numId w:val="0"/>
      </w:numPr>
      <w:tabs>
        <w:tab w:val="right" w:leader="dot" w:pos="4176"/>
      </w:tabs>
    </w:pPr>
  </w:style>
  <w:style w:type="paragraph" w:styleId="ListNumber2">
    <w:name w:val="List Number 2"/>
    <w:basedOn w:val="List2"/>
    <w:rsid w:val="00464CA9"/>
    <w:pPr>
      <w:numPr>
        <w:numId w:val="10"/>
      </w:numPr>
      <w:tabs>
        <w:tab w:val="clear" w:pos="1060"/>
      </w:tabs>
    </w:pPr>
  </w:style>
  <w:style w:type="paragraph" w:customStyle="1" w:styleId="MarginNote">
    <w:name w:val="Margin Note"/>
    <w:basedOn w:val="BodyText"/>
    <w:rsid w:val="00464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CA9"/>
    <w:rPr>
      <w:sz w:val="32"/>
    </w:rPr>
  </w:style>
  <w:style w:type="paragraph" w:customStyle="1" w:styleId="HeadingProcedure">
    <w:name w:val="Heading Procedure"/>
    <w:basedOn w:val="HeadingBase"/>
    <w:next w:val="Normal"/>
    <w:rsid w:val="00464CA9"/>
    <w:pPr>
      <w:tabs>
        <w:tab w:val="left" w:pos="0"/>
      </w:tabs>
      <w:spacing w:before="120" w:after="60"/>
    </w:pPr>
    <w:rPr>
      <w:i/>
      <w:color w:val="918585"/>
      <w:sz w:val="22"/>
    </w:rPr>
  </w:style>
  <w:style w:type="paragraph" w:customStyle="1" w:styleId="TableBodyText">
    <w:name w:val="Table Body Text"/>
    <w:basedOn w:val="BodyText"/>
    <w:rsid w:val="00464CA9"/>
    <w:pPr>
      <w:spacing w:before="60" w:after="60"/>
    </w:pPr>
  </w:style>
  <w:style w:type="paragraph" w:styleId="ListContinue">
    <w:name w:val="List Continue"/>
    <w:basedOn w:val="List"/>
    <w:rsid w:val="00464CA9"/>
    <w:pPr>
      <w:ind w:firstLine="0"/>
    </w:pPr>
  </w:style>
  <w:style w:type="paragraph" w:customStyle="1" w:styleId="ListNote">
    <w:name w:val="List Note"/>
    <w:basedOn w:val="List"/>
    <w:rsid w:val="00464CA9"/>
    <w:pPr>
      <w:pBdr>
        <w:top w:val="single" w:sz="6" w:space="2" w:color="918585"/>
        <w:bottom w:val="single" w:sz="6" w:space="2" w:color="918585"/>
      </w:pBdr>
      <w:tabs>
        <w:tab w:val="left" w:pos="1021"/>
      </w:tabs>
      <w:ind w:firstLine="0"/>
    </w:pPr>
  </w:style>
  <w:style w:type="paragraph" w:customStyle="1" w:styleId="Warning">
    <w:name w:val="Warning"/>
    <w:basedOn w:val="BodyText"/>
    <w:rsid w:val="00464CA9"/>
    <w:pPr>
      <w:shd w:val="clear" w:color="auto" w:fill="D9D9D9"/>
      <w:tabs>
        <w:tab w:val="left" w:pos="992"/>
      </w:tabs>
      <w:ind w:left="119" w:right="119"/>
    </w:pPr>
    <w:rPr>
      <w:sz w:val="20"/>
    </w:rPr>
  </w:style>
  <w:style w:type="paragraph" w:customStyle="1" w:styleId="MarginIcons">
    <w:name w:val="Margin Icons"/>
    <w:basedOn w:val="BodyText"/>
    <w:rsid w:val="00464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CA9"/>
    <w:rPr>
      <w:rFonts w:ascii="Courier New" w:hAnsi="Courier New"/>
    </w:rPr>
  </w:style>
  <w:style w:type="paragraph" w:customStyle="1" w:styleId="NoteBullet">
    <w:name w:val="Note Bullet"/>
    <w:basedOn w:val="Note"/>
    <w:rsid w:val="00464CA9"/>
    <w:pPr>
      <w:tabs>
        <w:tab w:val="clear" w:pos="680"/>
      </w:tabs>
      <w:spacing w:before="60" w:after="60"/>
    </w:pPr>
  </w:style>
  <w:style w:type="paragraph" w:customStyle="1" w:styleId="SubHeading2">
    <w:name w:val="SubHeading2"/>
    <w:basedOn w:val="HeadingBase"/>
    <w:rsid w:val="00464CA9"/>
    <w:pPr>
      <w:spacing w:before="240" w:after="60"/>
    </w:pPr>
    <w:rPr>
      <w:sz w:val="20"/>
    </w:rPr>
  </w:style>
  <w:style w:type="paragraph" w:customStyle="1" w:styleId="SubHeading1">
    <w:name w:val="SubHeading1"/>
    <w:basedOn w:val="HeadingBase"/>
    <w:rsid w:val="00464CA9"/>
    <w:pPr>
      <w:spacing w:before="240" w:after="60"/>
    </w:pPr>
    <w:rPr>
      <w:color w:val="918585"/>
      <w:sz w:val="22"/>
    </w:rPr>
  </w:style>
  <w:style w:type="paragraph" w:customStyle="1" w:styleId="SideHeading">
    <w:name w:val="Side Heading"/>
    <w:basedOn w:val="HeadingBase"/>
    <w:rsid w:val="00464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CA9"/>
    <w:pPr>
      <w:tabs>
        <w:tab w:val="num" w:pos="360"/>
      </w:tabs>
    </w:pPr>
  </w:style>
  <w:style w:type="paragraph" w:styleId="PlainText">
    <w:name w:val="Plain Text"/>
    <w:basedOn w:val="Normal"/>
    <w:link w:val="PlainTextChar"/>
    <w:rsid w:val="00464CA9"/>
    <w:rPr>
      <w:sz w:val="20"/>
    </w:rPr>
  </w:style>
  <w:style w:type="character" w:customStyle="1" w:styleId="PlainTextChar">
    <w:name w:val="Plain Text Char"/>
    <w:basedOn w:val="DefaultParagraphFont"/>
    <w:link w:val="PlainText"/>
    <w:rsid w:val="00464CA9"/>
    <w:rPr>
      <w:rFonts w:ascii="Courier New" w:eastAsia="Times New Roman" w:hAnsi="Courier New" w:cs="Times New Roman"/>
      <w:sz w:val="20"/>
      <w:szCs w:val="20"/>
      <w:lang w:eastAsia="en-US"/>
    </w:rPr>
  </w:style>
  <w:style w:type="character" w:customStyle="1" w:styleId="MenuOption">
    <w:name w:val="Menu Option"/>
    <w:basedOn w:val="DefaultParagraphFont"/>
    <w:rsid w:val="00464CA9"/>
    <w:rPr>
      <w:b/>
      <w:smallCaps/>
    </w:rPr>
  </w:style>
  <w:style w:type="paragraph" w:customStyle="1" w:styleId="TableListNumber">
    <w:name w:val="Table List Number"/>
    <w:basedOn w:val="ListNumber"/>
    <w:rsid w:val="00464CA9"/>
    <w:pPr>
      <w:numPr>
        <w:numId w:val="0"/>
      </w:numPr>
    </w:pPr>
  </w:style>
  <w:style w:type="paragraph" w:styleId="TOC4">
    <w:name w:val="toc 4"/>
    <w:basedOn w:val="TOCBase"/>
    <w:next w:val="Normal"/>
    <w:semiHidden/>
    <w:rsid w:val="00464CA9"/>
    <w:pPr>
      <w:tabs>
        <w:tab w:val="right" w:leader="dot" w:pos="9071"/>
      </w:tabs>
      <w:ind w:left="1701"/>
    </w:pPr>
  </w:style>
  <w:style w:type="paragraph" w:customStyle="1" w:styleId="ListAlpha">
    <w:name w:val="List Alpha"/>
    <w:basedOn w:val="List"/>
    <w:rsid w:val="00464CA9"/>
    <w:pPr>
      <w:numPr>
        <w:numId w:val="9"/>
      </w:numPr>
    </w:pPr>
  </w:style>
  <w:style w:type="paragraph" w:customStyle="1" w:styleId="ListAlpha2">
    <w:name w:val="List Alpha 2"/>
    <w:basedOn w:val="List2"/>
    <w:rsid w:val="00464CA9"/>
    <w:pPr>
      <w:numPr>
        <w:numId w:val="8"/>
      </w:numPr>
    </w:pPr>
  </w:style>
  <w:style w:type="paragraph" w:styleId="List2">
    <w:name w:val="List 2"/>
    <w:basedOn w:val="BodyText"/>
    <w:rsid w:val="00464CA9"/>
    <w:pPr>
      <w:tabs>
        <w:tab w:val="left" w:pos="680"/>
      </w:tabs>
      <w:spacing w:before="60" w:after="60"/>
      <w:ind w:left="680" w:hanging="340"/>
    </w:pPr>
  </w:style>
  <w:style w:type="paragraph" w:styleId="List3">
    <w:name w:val="List 3"/>
    <w:basedOn w:val="BodyText"/>
    <w:rsid w:val="00464CA9"/>
    <w:pPr>
      <w:tabs>
        <w:tab w:val="left" w:pos="1021"/>
      </w:tabs>
      <w:spacing w:before="60" w:after="60"/>
      <w:ind w:left="1020" w:hanging="340"/>
    </w:pPr>
  </w:style>
  <w:style w:type="paragraph" w:styleId="List4">
    <w:name w:val="List 4"/>
    <w:basedOn w:val="BodyText"/>
    <w:rsid w:val="00464CA9"/>
    <w:pPr>
      <w:tabs>
        <w:tab w:val="left" w:pos="1361"/>
      </w:tabs>
      <w:spacing w:before="60" w:after="60"/>
      <w:ind w:left="1361" w:hanging="340"/>
    </w:pPr>
  </w:style>
  <w:style w:type="paragraph" w:styleId="List5">
    <w:name w:val="List 5"/>
    <w:basedOn w:val="BodyText"/>
    <w:rsid w:val="00464CA9"/>
    <w:pPr>
      <w:tabs>
        <w:tab w:val="left" w:pos="1701"/>
      </w:tabs>
      <w:spacing w:before="60" w:after="60"/>
      <w:ind w:left="1701" w:hanging="340"/>
    </w:pPr>
  </w:style>
  <w:style w:type="paragraph" w:styleId="ListBullet3">
    <w:name w:val="List Bullet 3"/>
    <w:basedOn w:val="List3"/>
    <w:rsid w:val="00464CA9"/>
    <w:pPr>
      <w:numPr>
        <w:numId w:val="14"/>
      </w:numPr>
      <w:tabs>
        <w:tab w:val="clear" w:pos="1021"/>
      </w:tabs>
      <w:ind w:left="1037" w:hanging="357"/>
    </w:pPr>
  </w:style>
  <w:style w:type="paragraph" w:styleId="ListBullet4">
    <w:name w:val="List Bullet 4"/>
    <w:basedOn w:val="List4"/>
    <w:rsid w:val="00464CA9"/>
    <w:pPr>
      <w:numPr>
        <w:numId w:val="3"/>
      </w:numPr>
      <w:tabs>
        <w:tab w:val="clear" w:pos="1361"/>
      </w:tabs>
    </w:pPr>
  </w:style>
  <w:style w:type="paragraph" w:styleId="ListBullet5">
    <w:name w:val="List Bullet 5"/>
    <w:basedOn w:val="List5"/>
    <w:rsid w:val="00464CA9"/>
    <w:pPr>
      <w:numPr>
        <w:numId w:val="4"/>
      </w:numPr>
    </w:pPr>
  </w:style>
  <w:style w:type="paragraph" w:styleId="ListContinue2">
    <w:name w:val="List Continue 2"/>
    <w:basedOn w:val="List2"/>
    <w:rsid w:val="00464CA9"/>
    <w:pPr>
      <w:ind w:firstLine="0"/>
    </w:pPr>
  </w:style>
  <w:style w:type="paragraph" w:styleId="ListContinue3">
    <w:name w:val="List Continue 3"/>
    <w:basedOn w:val="List3"/>
    <w:rsid w:val="00464CA9"/>
    <w:pPr>
      <w:ind w:left="1021" w:firstLine="0"/>
    </w:pPr>
  </w:style>
  <w:style w:type="paragraph" w:styleId="ListContinue4">
    <w:name w:val="List Continue 4"/>
    <w:basedOn w:val="List4"/>
    <w:rsid w:val="00464CA9"/>
    <w:pPr>
      <w:ind w:firstLine="0"/>
    </w:pPr>
  </w:style>
  <w:style w:type="paragraph" w:styleId="ListContinue5">
    <w:name w:val="List Continue 5"/>
    <w:basedOn w:val="List5"/>
    <w:rsid w:val="00464CA9"/>
    <w:pPr>
      <w:ind w:firstLine="0"/>
    </w:pPr>
  </w:style>
  <w:style w:type="paragraph" w:styleId="ListNumber3">
    <w:name w:val="List Number 3"/>
    <w:basedOn w:val="List3"/>
    <w:rsid w:val="00464CA9"/>
    <w:pPr>
      <w:numPr>
        <w:numId w:val="5"/>
      </w:numPr>
    </w:pPr>
  </w:style>
  <w:style w:type="paragraph" w:styleId="ListNumber4">
    <w:name w:val="List Number 4"/>
    <w:basedOn w:val="List4"/>
    <w:rsid w:val="00464CA9"/>
    <w:pPr>
      <w:numPr>
        <w:numId w:val="6"/>
      </w:numPr>
    </w:pPr>
  </w:style>
  <w:style w:type="paragraph" w:styleId="ListNumber5">
    <w:name w:val="List Number 5"/>
    <w:basedOn w:val="List5"/>
    <w:rsid w:val="00464CA9"/>
    <w:pPr>
      <w:numPr>
        <w:numId w:val="7"/>
      </w:numPr>
    </w:pPr>
  </w:style>
  <w:style w:type="paragraph" w:styleId="BlockText">
    <w:name w:val="Block Text"/>
    <w:basedOn w:val="Normal"/>
    <w:rsid w:val="00464CA9"/>
    <w:pPr>
      <w:spacing w:after="120"/>
      <w:ind w:left="1440" w:right="1440"/>
    </w:pPr>
  </w:style>
  <w:style w:type="character" w:customStyle="1" w:styleId="Subscript">
    <w:name w:val="Subscript"/>
    <w:basedOn w:val="DefaultParagraphFont"/>
    <w:rsid w:val="00464CA9"/>
    <w:rPr>
      <w:sz w:val="16"/>
      <w:vertAlign w:val="subscript"/>
    </w:rPr>
  </w:style>
  <w:style w:type="character" w:customStyle="1" w:styleId="Superscript">
    <w:name w:val="Superscript"/>
    <w:basedOn w:val="DefaultParagraphFont"/>
    <w:rsid w:val="00464CA9"/>
    <w:rPr>
      <w:sz w:val="16"/>
      <w:vertAlign w:val="superscript"/>
    </w:rPr>
  </w:style>
  <w:style w:type="character" w:customStyle="1" w:styleId="Symbols">
    <w:name w:val="Symbols"/>
    <w:basedOn w:val="DefaultParagraphFont"/>
    <w:rsid w:val="00464CA9"/>
    <w:rPr>
      <w:rFonts w:ascii="Symbol" w:hAnsi="Symbol"/>
    </w:rPr>
  </w:style>
  <w:style w:type="character" w:customStyle="1" w:styleId="MenuOptions">
    <w:name w:val="Menu Options"/>
    <w:basedOn w:val="DefaultParagraphFont"/>
    <w:rsid w:val="00464CA9"/>
    <w:rPr>
      <w:rFonts w:ascii="Arial Narrow" w:hAnsi="Arial Narrow"/>
      <w:smallCaps/>
    </w:rPr>
  </w:style>
  <w:style w:type="character" w:customStyle="1" w:styleId="Buttons">
    <w:name w:val="Buttons"/>
    <w:basedOn w:val="DefaultParagraphFont"/>
    <w:rsid w:val="00464CA9"/>
    <w:rPr>
      <w:b/>
    </w:rPr>
  </w:style>
  <w:style w:type="character" w:customStyle="1" w:styleId="Underlined">
    <w:name w:val="Underlined"/>
    <w:basedOn w:val="DefaultParagraphFont"/>
    <w:rsid w:val="00464CA9"/>
    <w:rPr>
      <w:u w:val="single"/>
    </w:rPr>
  </w:style>
  <w:style w:type="paragraph" w:customStyle="1" w:styleId="TableBodyTextRight">
    <w:name w:val="Table Body Text Right"/>
    <w:basedOn w:val="TableBodyText"/>
    <w:rsid w:val="00464CA9"/>
    <w:pPr>
      <w:widowControl w:val="0"/>
      <w:autoSpaceDE w:val="0"/>
      <w:autoSpaceDN w:val="0"/>
      <w:adjustRightInd w:val="0"/>
      <w:jc w:val="right"/>
    </w:pPr>
    <w:rPr>
      <w:rFonts w:cs="Arial"/>
      <w:szCs w:val="18"/>
    </w:rPr>
  </w:style>
  <w:style w:type="paragraph" w:customStyle="1" w:styleId="CopyrightText">
    <w:name w:val="Copyright Text"/>
    <w:basedOn w:val="BodyText"/>
    <w:rsid w:val="00464CA9"/>
    <w:rPr>
      <w:sz w:val="18"/>
    </w:rPr>
  </w:style>
  <w:style w:type="paragraph" w:customStyle="1" w:styleId="BodySmallRight">
    <w:name w:val="Body Small Right"/>
    <w:basedOn w:val="BodyTextRight"/>
    <w:rsid w:val="00464CA9"/>
    <w:rPr>
      <w:sz w:val="18"/>
      <w:szCs w:val="18"/>
    </w:rPr>
  </w:style>
  <w:style w:type="paragraph" w:customStyle="1" w:styleId="MarginEdition">
    <w:name w:val="Margin Edition"/>
    <w:basedOn w:val="MarginNote"/>
    <w:rsid w:val="00464CA9"/>
    <w:pPr>
      <w:spacing w:before="0" w:after="0"/>
    </w:pPr>
    <w:rPr>
      <w:rFonts w:ascii="Times New Roman" w:hAnsi="Times New Roman"/>
      <w:color w:val="999999"/>
    </w:rPr>
  </w:style>
  <w:style w:type="paragraph" w:customStyle="1" w:styleId="Spacer">
    <w:name w:val="Spacer"/>
    <w:basedOn w:val="Normal"/>
    <w:rsid w:val="00464CA9"/>
    <w:rPr>
      <w:sz w:val="2"/>
      <w:szCs w:val="2"/>
    </w:rPr>
  </w:style>
  <w:style w:type="character" w:customStyle="1" w:styleId="Small">
    <w:name w:val="Small"/>
    <w:basedOn w:val="DefaultParagraphFont"/>
    <w:rsid w:val="00464CA9"/>
    <w:rPr>
      <w:sz w:val="16"/>
    </w:rPr>
  </w:style>
  <w:style w:type="paragraph" w:customStyle="1" w:styleId="WideTable">
    <w:name w:val="Wide Table"/>
    <w:basedOn w:val="Normal"/>
    <w:rsid w:val="00464CA9"/>
    <w:pPr>
      <w:ind w:left="-1418"/>
    </w:pPr>
    <w:rPr>
      <w:sz w:val="2"/>
      <w:szCs w:val="2"/>
    </w:rPr>
  </w:style>
  <w:style w:type="character" w:styleId="PageNumber">
    <w:name w:val="page number"/>
    <w:basedOn w:val="DefaultParagraphFont"/>
    <w:rsid w:val="00464CA9"/>
  </w:style>
  <w:style w:type="paragraph" w:styleId="Quote">
    <w:name w:val="Quote"/>
    <w:basedOn w:val="Heading1"/>
    <w:link w:val="QuoteChar"/>
    <w:qFormat/>
    <w:rsid w:val="00464CA9"/>
    <w:rPr>
      <w:b w:val="0"/>
      <w:sz w:val="72"/>
      <w:szCs w:val="72"/>
      <w:lang w:val="en-NZ"/>
    </w:rPr>
  </w:style>
  <w:style w:type="character" w:customStyle="1" w:styleId="QuoteChar">
    <w:name w:val="Quote Char"/>
    <w:basedOn w:val="DefaultParagraphFont"/>
    <w:link w:val="Quote"/>
    <w:rsid w:val="00464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CA9"/>
    <w:pPr>
      <w:pageBreakBefore/>
    </w:pPr>
  </w:style>
  <w:style w:type="paragraph" w:customStyle="1" w:styleId="Border">
    <w:name w:val="Border"/>
    <w:basedOn w:val="Normal"/>
    <w:qFormat/>
    <w:rsid w:val="00464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CA9"/>
    <w:rPr>
      <w:b/>
      <w:bCs/>
      <w:i/>
      <w:iCs/>
      <w:color w:val="auto"/>
    </w:rPr>
  </w:style>
  <w:style w:type="paragraph" w:styleId="IntenseQuote">
    <w:name w:val="Intense Quote"/>
    <w:basedOn w:val="Normal"/>
    <w:next w:val="Normal"/>
    <w:link w:val="IntenseQuoteChar"/>
    <w:uiPriority w:val="30"/>
    <w:qFormat/>
    <w:rsid w:val="00464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CA9"/>
    <w:rPr>
      <w:smallCaps/>
      <w:color w:val="auto"/>
      <w:u w:val="single"/>
    </w:rPr>
  </w:style>
  <w:style w:type="character" w:styleId="IntenseReference">
    <w:name w:val="Intense Reference"/>
    <w:basedOn w:val="DefaultParagraphFont"/>
    <w:uiPriority w:val="32"/>
    <w:qFormat/>
    <w:rsid w:val="00464CA9"/>
    <w:rPr>
      <w:b/>
      <w:bCs/>
      <w:smallCaps/>
      <w:color w:val="auto"/>
      <w:spacing w:val="5"/>
      <w:u w:val="single"/>
    </w:rPr>
  </w:style>
  <w:style w:type="paragraph" w:customStyle="1" w:styleId="2ColumnHeading">
    <w:name w:val="2Column Heading"/>
    <w:basedOn w:val="BodyText"/>
    <w:qFormat/>
    <w:rsid w:val="00464CA9"/>
    <w:pPr>
      <w:spacing w:after="60"/>
      <w:ind w:left="-2268"/>
    </w:pPr>
    <w:rPr>
      <w:b/>
    </w:rPr>
  </w:style>
  <w:style w:type="paragraph" w:customStyle="1" w:styleId="Heading1TOC">
    <w:name w:val="Heading1 TOC"/>
    <w:basedOn w:val="Normal"/>
    <w:qFormat/>
    <w:rsid w:val="00464CA9"/>
    <w:pPr>
      <w:spacing w:before="240" w:after="120"/>
    </w:pPr>
    <w:rPr>
      <w:rFonts w:ascii="Times New Roman" w:hAnsi="Times New Roman"/>
      <w:b/>
      <w:sz w:val="32"/>
    </w:rPr>
  </w:style>
  <w:style w:type="paragraph" w:customStyle="1" w:styleId="Heading2TOC">
    <w:name w:val="Heading2 TOC"/>
    <w:basedOn w:val="Normal"/>
    <w:qFormat/>
    <w:rsid w:val="00464CA9"/>
    <w:pPr>
      <w:spacing w:before="240" w:after="60"/>
    </w:pPr>
    <w:rPr>
      <w:rFonts w:ascii="Times New Roman" w:hAnsi="Times New Roman"/>
      <w:b/>
      <w:sz w:val="28"/>
    </w:rPr>
  </w:style>
  <w:style w:type="character" w:customStyle="1" w:styleId="Underline">
    <w:name w:val="Underline"/>
    <w:basedOn w:val="DefaultParagraphFont"/>
    <w:qFormat/>
    <w:rsid w:val="00464CA9"/>
    <w:rPr>
      <w:u w:val="single"/>
    </w:rPr>
  </w:style>
  <w:style w:type="character" w:customStyle="1" w:styleId="BoldandItalics">
    <w:name w:val="Bold and Italics"/>
    <w:qFormat/>
    <w:rsid w:val="00464CA9"/>
    <w:rPr>
      <w:b/>
      <w:i/>
      <w:u w:val="none"/>
    </w:rPr>
  </w:style>
  <w:style w:type="paragraph" w:styleId="BalloonText">
    <w:name w:val="Balloon Text"/>
    <w:basedOn w:val="Normal"/>
    <w:link w:val="BalloonTextChar"/>
    <w:rsid w:val="00464CA9"/>
    <w:rPr>
      <w:rFonts w:ascii="Tahoma" w:hAnsi="Tahoma" w:cs="Tahoma"/>
      <w:sz w:val="16"/>
      <w:szCs w:val="16"/>
    </w:rPr>
  </w:style>
  <w:style w:type="character" w:customStyle="1" w:styleId="BalloonTextChar">
    <w:name w:val="Balloon Text Char"/>
    <w:basedOn w:val="DefaultParagraphFont"/>
    <w:link w:val="BalloonText"/>
    <w:rsid w:val="00464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CA9"/>
    <w:rPr>
      <w:b/>
      <w:color w:val="660033"/>
      <w:spacing w:val="0"/>
    </w:rPr>
  </w:style>
  <w:style w:type="paragraph" w:customStyle="1" w:styleId="Nameditemlist">
    <w:name w:val="Named item list"/>
    <w:basedOn w:val="BodyText"/>
    <w:qFormat/>
    <w:rsid w:val="00464CA9"/>
    <w:pPr>
      <w:tabs>
        <w:tab w:val="left" w:pos="2835"/>
      </w:tabs>
      <w:ind w:left="2835" w:hanging="2835"/>
    </w:pPr>
  </w:style>
  <w:style w:type="paragraph" w:customStyle="1" w:styleId="BodyTextnopadding">
    <w:name w:val="Body Text no padding"/>
    <w:basedOn w:val="BodyText"/>
    <w:qFormat/>
    <w:rsid w:val="00464CA9"/>
    <w:pPr>
      <w:spacing w:before="0" w:after="0"/>
    </w:pPr>
  </w:style>
  <w:style w:type="paragraph" w:customStyle="1" w:styleId="BodyTextBold">
    <w:name w:val="Body Text Bold"/>
    <w:basedOn w:val="BodyText"/>
    <w:qFormat/>
    <w:rsid w:val="00464CA9"/>
    <w:rPr>
      <w:b/>
    </w:rPr>
  </w:style>
  <w:style w:type="character" w:styleId="Hyperlink">
    <w:name w:val="Hyperlink"/>
    <w:basedOn w:val="DefaultParagraphFont"/>
    <w:uiPriority w:val="99"/>
    <w:unhideWhenUsed/>
    <w:rsid w:val="00261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5364</Characters>
  <Application>Microsoft Office Word</Application>
  <DocSecurity>0</DocSecurity>
  <Lines>315</Lines>
  <Paragraphs>177</Paragraphs>
  <ScaleCrop>false</ScaleCrop>
  <Company>Author-it Software Corporation Ltd.</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MEM21010 Service watch power generating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2023-02-03T07:09:00Z</dcterms:created>
  <dcterms:modified xsi:type="dcterms:W3CDTF">2023-02-03T07:09:00Z</dcterms:modified>
</cp:coreProperties>
</file>