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CA0" w:rsidP="006E7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MEM21010 Service watch power generating systems</w:t>
      </w:r>
      <w:r>
        <w:fldChar w:fldCharType="end"/>
      </w:r>
    </w:p>
    <w:p w:rsidR="006E7CA0" w:rsidP="006E7CA0">
      <w:pPr>
        <w:pStyle w:val="Version"/>
        <w:sectPr w:rsidSect="00C92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40F" w:rsidP="00C9240F">
      <w:pPr>
        <w:pStyle w:val="SuperHeading"/>
      </w:pPr>
      <w:r w:rsidRPr="00C9240F">
        <w:t>MEM21010 Service watch power generating systems</w:t>
      </w:r>
    </w:p>
    <w:p w:rsidR="00000000" w:rsidRPr="00C9240F" w:rsidP="00C9240F">
      <w:pPr>
        <w:pStyle w:val="Heading1"/>
      </w:pPr>
      <w:bookmarkStart w:id="1" w:name="O_951293"/>
      <w:bookmarkEnd w:id="1"/>
      <w:r w:rsidRPr="00C9240F">
        <w:t>Modification History</w:t>
      </w:r>
    </w:p>
    <w:p w:rsidR="00000000" w:rsidRPr="00C9240F" w:rsidP="006E7CA0">
      <w:pPr>
        <w:pStyle w:val="BodyText"/>
      </w:pPr>
      <w:r w:rsidRPr="00C9240F">
        <w:t xml:space="preserve">Release 1. Supersedes and is equivalent to MEM21010A Service watch power generating systems </w:t>
      </w:r>
    </w:p>
    <w:p w:rsidR="00000000" w:rsidRPr="00C9240F" w:rsidP="00C9240F">
      <w:pPr>
        <w:pStyle w:val="Heading1"/>
      </w:pPr>
      <w:bookmarkStart w:id="2" w:name="O_951301"/>
      <w:bookmarkEnd w:id="2"/>
      <w:r w:rsidRPr="00C9240F">
        <w:t>Application</w:t>
      </w:r>
    </w:p>
    <w:p w:rsidR="00000000" w:rsidRPr="00C9240F" w:rsidP="006E7CA0">
      <w:pPr>
        <w:pStyle w:val="BodyText"/>
      </w:pPr>
      <w:r w:rsidRPr="00C9240F">
        <w:t>This unit of competency defines the skills and knowledge required to service and repair mechanical self-w</w:t>
      </w:r>
      <w:r w:rsidRPr="00C9240F">
        <w:t>inding (automatic) watches and quartz watch power generating systems, service components, and adjust and test mechanisms for optimum performance.</w:t>
      </w:r>
    </w:p>
    <w:p w:rsidR="00000000" w:rsidRPr="00C9240F" w:rsidP="006E7CA0">
      <w:pPr>
        <w:pStyle w:val="BodyText"/>
      </w:pPr>
      <w:r w:rsidRPr="00C9240F">
        <w:t>No licensing, legislative or certification requirements apply to this unit at the time of publication.</w:t>
      </w:r>
    </w:p>
    <w:p w:rsidR="00000000" w:rsidRPr="00C9240F" w:rsidP="006E7CA0">
      <w:pPr>
        <w:pStyle w:val="Heading3"/>
      </w:pPr>
      <w:r w:rsidRPr="00C9240F">
        <w:rPr>
          <w:rStyle w:val="SpecialBold"/>
        </w:rPr>
        <w:t>Band:</w:t>
      </w:r>
      <w:r w:rsidRPr="00C9240F">
        <w:rPr>
          <w:rStyle w:val="SpecialBold"/>
        </w:rPr>
        <w:t xml:space="preserve">  A</w:t>
      </w:r>
    </w:p>
    <w:p w:rsidR="00000000" w:rsidRPr="00C9240F" w:rsidP="006E7CA0">
      <w:pPr>
        <w:pStyle w:val="Heading3"/>
      </w:pPr>
      <w:r w:rsidRPr="00C9240F">
        <w:rPr>
          <w:rStyle w:val="SpecialBold"/>
        </w:rPr>
        <w:t xml:space="preserve">Unit weight:  2 </w:t>
      </w:r>
    </w:p>
    <w:p w:rsidR="00000000" w:rsidRPr="00C9240F" w:rsidP="00C9240F">
      <w:pPr>
        <w:pStyle w:val="Heading1"/>
      </w:pPr>
      <w:bookmarkStart w:id="3" w:name="O_951300"/>
      <w:bookmarkEnd w:id="3"/>
      <w:r w:rsidRPr="00C9240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Undertake manual handling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Work safely and effectively in manufacturing and engineering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Organise and communicate information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Use hand tools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 xml:space="preserve">Service </w:t>
            </w:r>
            <w:r w:rsidRPr="00C9240F">
              <w:t>mechanical watches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MEM21009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BodyText"/>
            </w:pPr>
            <w:r w:rsidRPr="00C9240F">
              <w:t>Inspect, diagnose, adjust and repair mechanical watches</w:t>
            </w:r>
          </w:p>
        </w:tc>
      </w:tr>
    </w:tbl>
    <w:p w:rsidR="00000000" w:rsidRPr="00C9240F" w:rsidP="00C9240F">
      <w:pPr>
        <w:pStyle w:val="BodyText"/>
      </w:pPr>
    </w:p>
    <w:p w:rsidR="00000000" w:rsidRPr="00C9240F" w:rsidP="00C9240F">
      <w:pPr>
        <w:pStyle w:val="AllowPageBreak"/>
      </w:pPr>
    </w:p>
    <w:p w:rsidR="00000000" w:rsidRPr="00C9240F" w:rsidP="00C9240F">
      <w:pPr>
        <w:pStyle w:val="Heading1"/>
      </w:pPr>
      <w:bookmarkStart w:id="4" w:name="O_951299"/>
      <w:bookmarkEnd w:id="4"/>
      <w:r w:rsidRPr="00C9240F">
        <w:t>Competency Field</w:t>
      </w:r>
    </w:p>
    <w:p w:rsidR="00000000" w:rsidRPr="00C9240F" w:rsidP="006E7CA0">
      <w:pPr>
        <w:pStyle w:val="BodyText"/>
      </w:pPr>
      <w:r w:rsidRPr="00C9240F">
        <w:t>Horology</w:t>
      </w:r>
    </w:p>
    <w:p w:rsidR="00000000" w:rsidRPr="00C9240F" w:rsidP="00C9240F">
      <w:pPr>
        <w:pStyle w:val="Heading1"/>
      </w:pPr>
      <w:bookmarkStart w:id="5" w:name="O_951297"/>
      <w:bookmarkEnd w:id="5"/>
      <w:r w:rsidRPr="00C924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Performance criteria describe th</w:t>
            </w:r>
            <w:r w:rsidRPr="00C9240F">
              <w:t>e performance needed to demonstrate achievement of the element.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BodyText"/>
            </w:pPr>
            <w:r w:rsidRPr="00C9240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Follow standard operating procedures (SOPs)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Comply with work health and safety (WHS) requirements at all times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Inspect watch condition and performance concerns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Prepare written and verbal quotations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Agree with customer on recommended service procedures to remedy faults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Identify mechanical self-winding or quartz generating system type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Prepare watch for handover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Record and document repair process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BodyText"/>
            </w:pPr>
            <w:r w:rsidRPr="00C9240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Disassemble and reassemble self-winding or quartz generating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Establish an appropriate clean and safe work environment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Select and use appropriate personal protective equipment (PPE) in accordance with SOPs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Open and close self-winding or quartz generating watch cases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Use hand tools and equipment in safe and correct manner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Remove and replace case components, dial and hands, movements and sub-assemblies in correct sequence without damaging or marking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Verify condition of case pushbuttons and gaskets and replace, as required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Clean cases and bands, as required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2</w:t>
            </w:r>
            <w:r w:rsidRPr="00C9240F">
              <w:t>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Apply dismantling and assembly precautions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BodyText"/>
            </w:pPr>
            <w:r w:rsidRPr="00C9240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Service and adjust self-winding or quartz generating watch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Inspect condition of self-winding or quartz generating watch mechanisms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Lubricate components and sub-assemblies according to manufacturer specification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Replace faulty or worn component parts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Clean self-winding or quartz generating watch mechanism components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Inspect self-winding or qua</w:t>
            </w:r>
            <w:r w:rsidRPr="00C9240F">
              <w:t>rtz generating mechanism for cleanliness and rectify imperfections or faults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Adjust self-winding or quartz generating mechanism components for correct operation, end shake and clearances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BodyText"/>
            </w:pPr>
            <w:r w:rsidRPr="00C9240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Test and adjust self-winding or quartz generating mechanism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Perform pre-service inspection and fault finding of self-winding or quartz generating mechanism action, function and wrist sensitivity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Verify watch performance/</w:t>
            </w:r>
            <w:r w:rsidRPr="00C9240F">
              <w:t>rate testing and amplitude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BodyText"/>
            </w:pPr>
            <w:r w:rsidRPr="00C9240F">
              <w:t>Perform simulated wear and power generation tests, as appropriate</w:t>
            </w:r>
          </w:p>
        </w:tc>
      </w:tr>
    </w:tbl>
    <w:p w:rsidR="00000000" w:rsidRPr="00C9240F" w:rsidP="00C9240F">
      <w:pPr>
        <w:pStyle w:val="BodyText"/>
      </w:pPr>
    </w:p>
    <w:p w:rsidR="00000000" w:rsidRPr="00C9240F" w:rsidP="00C9240F">
      <w:pPr>
        <w:pStyle w:val="AllowPageBreak"/>
      </w:pPr>
    </w:p>
    <w:p w:rsidR="00000000" w:rsidRPr="00C9240F" w:rsidP="00C9240F">
      <w:pPr>
        <w:pStyle w:val="Heading1"/>
      </w:pPr>
      <w:bookmarkStart w:id="6" w:name="O_951296"/>
      <w:bookmarkEnd w:id="6"/>
      <w:r w:rsidRPr="00C9240F">
        <w:t>Foundation Skills</w:t>
      </w:r>
    </w:p>
    <w:p w:rsidR="00000000" w:rsidRPr="00C9240F" w:rsidP="006E7CA0">
      <w:pPr>
        <w:pStyle w:val="BodyText"/>
      </w:pPr>
      <w:r w:rsidRPr="00C9240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9240F" w:rsidP="006E7CA0">
      <w:pPr>
        <w:pStyle w:val="BodyText"/>
      </w:pPr>
      <w:r w:rsidRPr="00C9240F">
        <w:t xml:space="preserve">Foundation skills essential to performance are explicit in the performance criteria </w:t>
      </w:r>
      <w:r w:rsidRPr="00C9240F">
        <w:t>of this unit of competency.</w:t>
      </w:r>
    </w:p>
    <w:p w:rsidR="00000000" w:rsidRPr="00C9240F" w:rsidP="00C9240F">
      <w:pPr>
        <w:pStyle w:val="Heading1"/>
      </w:pPr>
      <w:bookmarkStart w:id="7" w:name="O_951295"/>
      <w:bookmarkEnd w:id="7"/>
      <w:r w:rsidRPr="00C9240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t>This field allows for different work environments and conditions that may affect performance. Essential operating conditions that may be present (depending on the work situation, needs of the</w:t>
            </w:r>
            <w:r w:rsidRPr="00C9240F">
              <w:t xml:space="preserve"> candidate, accessibility of the item, and local industry and regional contexts) are included.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System type and construction</w:t>
            </w:r>
            <w:r w:rsidRPr="00C9240F">
              <w:t xml:space="preserve"> </w:t>
            </w:r>
            <w:r w:rsidRPr="00C9240F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mechanical self-winding</w:t>
            </w:r>
          </w:p>
          <w:p w:rsidR="00000000" w:rsidRPr="00C9240F" w:rsidP="00C9240F">
            <w:pPr>
              <w:pStyle w:val="ListBullet"/>
            </w:pPr>
            <w:r w:rsidRPr="00C9240F">
              <w:t xml:space="preserve">quartz watch power generation, including: </w:t>
            </w:r>
          </w:p>
          <w:p w:rsidR="00000000" w:rsidRPr="00C9240F" w:rsidP="00C9240F">
            <w:pPr>
              <w:pStyle w:val="ListBullet2"/>
            </w:pPr>
            <w:r w:rsidRPr="00C9240F">
              <w:t xml:space="preserve">kinetic quartz </w:t>
            </w:r>
          </w:p>
          <w:p w:rsidR="00000000" w:rsidRPr="00C9240F" w:rsidP="00C9240F">
            <w:pPr>
              <w:pStyle w:val="ListBullet2"/>
            </w:pPr>
            <w:r w:rsidRPr="00C9240F">
              <w:t>auto quartz</w:t>
            </w:r>
          </w:p>
          <w:p w:rsidR="00000000" w:rsidRPr="00C9240F" w:rsidP="00C9240F">
            <w:pPr>
              <w:pStyle w:val="ListBullet"/>
            </w:pPr>
            <w:r w:rsidRPr="00C9240F">
              <w:t>types of construction, including:</w:t>
            </w:r>
          </w:p>
          <w:p w:rsidR="00000000" w:rsidRPr="00C9240F" w:rsidP="00C9240F">
            <w:pPr>
              <w:pStyle w:val="ListBullet2"/>
            </w:pPr>
            <w:r w:rsidRPr="00C9240F">
              <w:t>rotor</w:t>
            </w:r>
          </w:p>
          <w:p w:rsidR="00000000" w:rsidRPr="00C9240F" w:rsidP="00C9240F">
            <w:pPr>
              <w:pStyle w:val="ListBullet2"/>
            </w:pPr>
            <w:r w:rsidRPr="00C9240F">
              <w:t>buffer</w:t>
            </w:r>
          </w:p>
          <w:p w:rsidR="00000000" w:rsidRPr="00C9240F" w:rsidP="00C9240F">
            <w:pPr>
              <w:pStyle w:val="ListBullet2"/>
            </w:pPr>
            <w:r w:rsidRPr="00C9240F">
              <w:t xml:space="preserve">pedometer </w:t>
            </w:r>
          </w:p>
          <w:p w:rsidR="00000000" w:rsidRPr="00C9240F" w:rsidP="00C9240F">
            <w:pPr>
              <w:pStyle w:val="ListBullet2"/>
            </w:pPr>
            <w:r w:rsidRPr="00C9240F">
              <w:t>case winding</w:t>
            </w:r>
          </w:p>
          <w:p w:rsidR="00000000" w:rsidRPr="00C9240F" w:rsidP="00C9240F">
            <w:pPr>
              <w:pStyle w:val="ListBullet"/>
            </w:pPr>
            <w:r w:rsidRPr="00C9240F">
              <w:t xml:space="preserve">features of construction, including: </w:t>
            </w:r>
          </w:p>
          <w:p w:rsidR="00000000" w:rsidRPr="00C9240F" w:rsidP="00C9240F">
            <w:pPr>
              <w:pStyle w:val="ListBullet2"/>
            </w:pPr>
            <w:r w:rsidRPr="00C9240F">
              <w:t xml:space="preserve">single-way winding </w:t>
            </w:r>
          </w:p>
          <w:p w:rsidR="00000000" w:rsidRPr="00C9240F" w:rsidP="00C9240F">
            <w:pPr>
              <w:pStyle w:val="ListBullet2"/>
            </w:pPr>
            <w:r w:rsidRPr="00C9240F">
              <w:t>two-way winding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performance characteristics (constant motive force)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 xml:space="preserve">extent and date of repair </w:t>
            </w:r>
          </w:p>
          <w:p w:rsidR="00000000" w:rsidRPr="00C9240F" w:rsidP="00C9240F">
            <w:pPr>
              <w:pStyle w:val="ListBullet"/>
            </w:pPr>
            <w:r w:rsidRPr="00C9240F">
              <w:t>cost of replacement part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 xml:space="preserve">time spent on procedure 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Dismantling and assembly precautions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sequence of inspect</w:t>
            </w:r>
            <w:r w:rsidRPr="00C9240F">
              <w:t xml:space="preserve">ion and adjustment of self-winding or quartz generating mechanism </w:t>
            </w:r>
          </w:p>
          <w:p w:rsidR="00000000" w:rsidRPr="00C9240F" w:rsidP="00C9240F">
            <w:pPr>
              <w:pStyle w:val="ListBullet"/>
            </w:pPr>
            <w:r w:rsidRPr="00C9240F">
              <w:t>verification of correct operation of oscillating weight, reversing wheel and mainspring slipping device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correct selection, application and amount of lubrication for self-winding or quartz generating mechanism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Faulty or worn component parts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oscillating weight ball bearings</w:t>
            </w:r>
          </w:p>
          <w:p w:rsidR="00000000" w:rsidRPr="00C9240F" w:rsidP="00C9240F">
            <w:pPr>
              <w:pStyle w:val="ListBullet"/>
            </w:pPr>
            <w:r w:rsidRPr="00C9240F">
              <w:t>rotor posts</w:t>
            </w:r>
          </w:p>
          <w:p w:rsidR="00000000" w:rsidRPr="00C9240F" w:rsidP="00C9240F">
            <w:pPr>
              <w:pStyle w:val="ListBullet"/>
            </w:pPr>
            <w:r w:rsidRPr="00C9240F">
              <w:t>reversing wheel pivots</w:t>
            </w:r>
          </w:p>
          <w:p w:rsidR="00000000" w:rsidRPr="00C9240F" w:rsidP="00C9240F">
            <w:pPr>
              <w:pStyle w:val="ListBullet"/>
            </w:pPr>
            <w:r w:rsidRPr="00C9240F">
              <w:t>clicks</w:t>
            </w:r>
          </w:p>
          <w:p w:rsidR="00000000" w:rsidRPr="00C9240F" w:rsidP="00C9240F">
            <w:pPr>
              <w:pStyle w:val="ListBullet"/>
            </w:pPr>
            <w:r w:rsidRPr="00C9240F">
              <w:t>s</w:t>
            </w:r>
            <w:r w:rsidRPr="00C9240F">
              <w:t>lipping bridle</w:t>
            </w:r>
          </w:p>
          <w:p w:rsidR="00000000" w:rsidRPr="00C9240F" w:rsidP="00C9240F">
            <w:pPr>
              <w:pStyle w:val="ListBullet"/>
            </w:pPr>
            <w:r w:rsidRPr="00C9240F">
              <w:t>driving gear</w:t>
            </w:r>
          </w:p>
          <w:p w:rsidR="00000000" w:rsidRPr="00C9240F" w:rsidP="00C9240F">
            <w:pPr>
              <w:pStyle w:val="ListBullet"/>
            </w:pPr>
            <w:r w:rsidRPr="00C9240F">
              <w:t>friction clutch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generating rotor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Self-winding or quartz generating</w:t>
            </w:r>
            <w:r w:rsidRPr="00C9240F">
              <w:t xml:space="preserve"> </w:t>
            </w:r>
            <w:r w:rsidRPr="00C9240F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oscillating weights and rotor</w:t>
            </w:r>
          </w:p>
          <w:p w:rsidR="00000000" w:rsidRPr="00C9240F" w:rsidP="00C9240F">
            <w:pPr>
              <w:pStyle w:val="ListBullet"/>
            </w:pPr>
            <w:r w:rsidRPr="00C9240F">
              <w:t>transmissions, reverser wheels and wig wag</w:t>
            </w:r>
          </w:p>
          <w:p w:rsidR="00000000" w:rsidRPr="00C9240F" w:rsidP="00C9240F">
            <w:pPr>
              <w:pStyle w:val="ListBullet"/>
            </w:pPr>
            <w:r w:rsidRPr="00C9240F">
              <w:t xml:space="preserve">mainspring and barrel 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slipping devices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Watch performance</w:t>
            </w:r>
            <w:r w:rsidRPr="00C9240F">
              <w:t>/</w:t>
            </w:r>
            <w:r w:rsidRPr="00C9240F">
              <w:rPr>
                <w:rStyle w:val="SpecialBold"/>
              </w:rPr>
              <w:t>rate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beat error diagnosis and adjustment</w:t>
            </w:r>
          </w:p>
          <w:p w:rsidR="00000000" w:rsidRPr="00C9240F" w:rsidP="00C9240F">
            <w:pPr>
              <w:pStyle w:val="ListBullet"/>
            </w:pPr>
            <w:r w:rsidRPr="00C9240F">
              <w:t>rate adjustment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amplitude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Wear and power generation tests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 xml:space="preserve">machine simulation wear test </w:t>
            </w:r>
          </w:p>
          <w:p w:rsidR="00000000" w:rsidRPr="00C9240F" w:rsidP="00C9240F">
            <w:pPr>
              <w:pStyle w:val="ListBullet"/>
            </w:pPr>
            <w:r w:rsidRPr="00C9240F">
              <w:t>testing by wrist wearing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kinetic voltage test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Hand tools and equipment include one (1) or more of the following:</w:t>
            </w:r>
            <w:r w:rsidRPr="00C9240F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timing machine</w:t>
            </w:r>
          </w:p>
          <w:p w:rsidR="00000000" w:rsidRPr="00C9240F" w:rsidP="00C9240F">
            <w:pPr>
              <w:pStyle w:val="ListBullet"/>
            </w:pPr>
            <w:r w:rsidRPr="00C9240F">
              <w:t>mainspring winders</w:t>
            </w:r>
          </w:p>
          <w:p w:rsidR="00000000" w:rsidRPr="00C9240F" w:rsidP="00C9240F">
            <w:pPr>
              <w:pStyle w:val="ListBullet"/>
            </w:pPr>
            <w:r w:rsidRPr="00C9240F">
              <w:t>cyclomat</w:t>
            </w:r>
          </w:p>
          <w:p w:rsidR="00000000" w:rsidP="00C9240F">
            <w:pPr>
              <w:pStyle w:val="ListBullet"/>
              <w:rPr>
                <w:lang w:val="en-NZ"/>
              </w:rPr>
            </w:pPr>
            <w:r w:rsidRPr="00C9240F">
              <w:t>case opening and closing tools</w:t>
            </w:r>
          </w:p>
        </w:tc>
      </w:tr>
      <w:tr w:rsidTr="00C9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0F">
            <w:pPr>
              <w:pStyle w:val="BodyText"/>
              <w:rPr>
                <w:lang w:val="en-NZ"/>
              </w:rPr>
            </w:pPr>
            <w:r w:rsidRPr="00C9240F">
              <w:rPr>
                <w:rStyle w:val="SpecialBold"/>
              </w:rPr>
              <w:t>Appropriate working environment</w:t>
            </w:r>
            <w:r w:rsidRPr="00C9240F">
              <w:t xml:space="preserve"> </w:t>
            </w:r>
            <w:r w:rsidRPr="00C9240F">
              <w:rPr>
                <w:rStyle w:val="SpecialBold"/>
              </w:rPr>
              <w:t>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0F" w:rsidP="00C9240F">
            <w:pPr>
              <w:pStyle w:val="ListBullet"/>
            </w:pPr>
            <w:r w:rsidRPr="00C9240F">
              <w:t>clean bench and working area</w:t>
            </w:r>
          </w:p>
          <w:p w:rsidR="00000000" w:rsidRPr="00C9240F" w:rsidP="00C9240F">
            <w:pPr>
              <w:pStyle w:val="ListBullet"/>
            </w:pPr>
            <w:r w:rsidRPr="00C9240F">
              <w:t>adequate lighting and ventilation</w:t>
            </w:r>
          </w:p>
          <w:p w:rsidR="00000000" w:rsidRPr="00C9240F" w:rsidP="00C9240F">
            <w:pPr>
              <w:pStyle w:val="ListBullet"/>
            </w:pPr>
            <w:r w:rsidRPr="00C9240F">
              <w:t>organised tools and equipment</w:t>
            </w:r>
          </w:p>
          <w:p w:rsidR="00000000" w:rsidRPr="00C9240F" w:rsidP="00C9240F">
            <w:pPr>
              <w:pStyle w:val="ListBullet"/>
            </w:pPr>
            <w:r w:rsidRPr="00C9240F">
              <w:t>ergonomic seating</w:t>
            </w:r>
          </w:p>
        </w:tc>
      </w:tr>
    </w:tbl>
    <w:p w:rsidR="00000000" w:rsidRPr="00C9240F" w:rsidP="00C9240F">
      <w:pPr>
        <w:pStyle w:val="BodyText"/>
      </w:pPr>
    </w:p>
    <w:p w:rsidR="00000000" w:rsidRPr="00C9240F" w:rsidP="00C9240F">
      <w:pPr>
        <w:pStyle w:val="AllowPageBreak"/>
      </w:pPr>
    </w:p>
    <w:p w:rsidR="00000000" w:rsidRPr="00C9240F" w:rsidP="00C9240F">
      <w:pPr>
        <w:pStyle w:val="Heading1"/>
      </w:pPr>
      <w:bookmarkStart w:id="8" w:name="O_951294"/>
      <w:bookmarkEnd w:id="8"/>
      <w:r w:rsidRPr="00C9240F">
        <w:t>Unit Mapping Information</w:t>
      </w:r>
    </w:p>
    <w:p w:rsidR="00000000" w:rsidRPr="00C9240F" w:rsidP="006E7CA0">
      <w:pPr>
        <w:pStyle w:val="BodyText"/>
      </w:pPr>
      <w:r w:rsidRPr="00C9240F">
        <w:t xml:space="preserve">Release 1. Supersedes and is equivalent to MEM21010A Service watch power generating systems </w:t>
      </w:r>
    </w:p>
    <w:p w:rsidR="00000000" w:rsidRPr="00C9240F" w:rsidP="00C9240F">
      <w:pPr>
        <w:pStyle w:val="Heading1"/>
      </w:pPr>
      <w:bookmarkStart w:id="9" w:name="O_951287"/>
      <w:bookmarkEnd w:id="9"/>
      <w:r w:rsidRPr="00C9240F">
        <w:t>Links</w:t>
      </w:r>
    </w:p>
    <w:p w:rsidR="00000000" w:rsidRPr="00C9240F" w:rsidP="006E7CA0">
      <w:pPr>
        <w:pStyle w:val="BodyText"/>
      </w:pPr>
      <w:r w:rsidRPr="00C92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04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240F" w:rsidP="006E7CA0">
      <w:pPr>
        <w:pStyle w:val="BodyText"/>
        <w:sectPr w:rsidSect="00C924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40F" w:rsidP="00C9240F">
      <w:pPr>
        <w:pStyle w:val="SuperHeading"/>
      </w:pPr>
      <w:r w:rsidRPr="00C9240F">
        <w:t>Assessment Requirements for MEM21010 Service watch power generating systems</w:t>
      </w:r>
    </w:p>
    <w:p w:rsidR="00000000" w:rsidRPr="00C9240F" w:rsidP="00C9240F">
      <w:pPr>
        <w:pStyle w:val="Heading1"/>
      </w:pPr>
      <w:bookmarkStart w:id="10" w:name="O_951289"/>
      <w:bookmarkEnd w:id="10"/>
      <w:r w:rsidRPr="00C9240F">
        <w:t>Modification History</w:t>
      </w:r>
    </w:p>
    <w:p w:rsidR="00000000" w:rsidRPr="00C9240F" w:rsidP="006E7CA0">
      <w:pPr>
        <w:pStyle w:val="BodyText"/>
      </w:pPr>
      <w:r w:rsidRPr="00C9240F">
        <w:t xml:space="preserve">Release 1. Supersedes and is equivalent to MEM21010A Service watch power generating systems </w:t>
      </w:r>
    </w:p>
    <w:p w:rsidR="00000000" w:rsidRPr="00C9240F" w:rsidP="00C9240F">
      <w:pPr>
        <w:pStyle w:val="Heading1"/>
      </w:pPr>
      <w:bookmarkStart w:id="11" w:name="O_951292"/>
      <w:bookmarkEnd w:id="11"/>
      <w:r w:rsidRPr="00C9240F">
        <w:t>Performance Evidence</w:t>
      </w:r>
    </w:p>
    <w:p w:rsidR="00000000" w:rsidRPr="00C9240F" w:rsidP="006E7CA0">
      <w:pPr>
        <w:pStyle w:val="BodyText"/>
      </w:pPr>
      <w:r w:rsidRPr="00C9240F">
        <w:t>Evidence required to demonstrate competence in this unit must be relevant to and satisfy the requirements of the elements and</w:t>
      </w:r>
      <w:r w:rsidRPr="00C9240F">
        <w:t xml:space="preserve"> performance criteria on at least two (2) occasions and include:</w:t>
      </w:r>
    </w:p>
    <w:p w:rsidR="00000000" w:rsidRPr="00C9240F" w:rsidP="00C9240F">
      <w:pPr>
        <w:pStyle w:val="ListBullet"/>
      </w:pPr>
      <w:r w:rsidRPr="00C9240F">
        <w:t xml:space="preserve">following work instructions, standard operating procedures (SOPs) and safe work practices </w:t>
      </w:r>
    </w:p>
    <w:p w:rsidR="00000000" w:rsidRPr="00C9240F" w:rsidP="00C9240F">
      <w:pPr>
        <w:pStyle w:val="ListBullet"/>
      </w:pPr>
      <w:r w:rsidRPr="00C9240F">
        <w:t xml:space="preserve">identifying mechanical self-winding or quartz generating system type </w:t>
      </w:r>
    </w:p>
    <w:p w:rsidR="00000000" w:rsidRPr="00C9240F" w:rsidP="00C9240F">
      <w:pPr>
        <w:pStyle w:val="ListBullet"/>
      </w:pPr>
      <w:r w:rsidRPr="00C9240F">
        <w:t>liaising with customer, verif</w:t>
      </w:r>
      <w:r w:rsidRPr="00C9240F">
        <w:t xml:space="preserve">ying condition and performance, and identifying repair costs </w:t>
      </w:r>
    </w:p>
    <w:p w:rsidR="00000000" w:rsidRPr="00C9240F" w:rsidP="00C9240F">
      <w:pPr>
        <w:pStyle w:val="ListBullet"/>
      </w:pPr>
      <w:r w:rsidRPr="00C9240F">
        <w:t xml:space="preserve">selecting and using appropriate tools and equipment in a clean and safe environment </w:t>
      </w:r>
    </w:p>
    <w:p w:rsidR="00000000" w:rsidRPr="00C9240F" w:rsidP="00C9240F">
      <w:pPr>
        <w:pStyle w:val="ListBullet"/>
      </w:pPr>
      <w:r w:rsidRPr="00C9240F">
        <w:t xml:space="preserve">identifying and naming the components of a self-winding or quartz generating mechanism </w:t>
      </w:r>
    </w:p>
    <w:p w:rsidR="00000000" w:rsidRPr="00C9240F" w:rsidP="00C9240F">
      <w:pPr>
        <w:pStyle w:val="ListBullet"/>
      </w:pPr>
      <w:r w:rsidRPr="00C9240F">
        <w:t>dismantling and assem</w:t>
      </w:r>
      <w:r w:rsidRPr="00C9240F">
        <w:t xml:space="preserve">bling self-winding or quartz generating mechanisms using correct techniques and precautions </w:t>
      </w:r>
    </w:p>
    <w:p w:rsidR="00000000" w:rsidRPr="00C9240F" w:rsidP="00C9240F">
      <w:pPr>
        <w:pStyle w:val="ListBullet"/>
      </w:pPr>
      <w:r w:rsidRPr="00C9240F">
        <w:t xml:space="preserve">inspecting, fault finding and replacing faulty or worn components </w:t>
      </w:r>
    </w:p>
    <w:p w:rsidR="00000000" w:rsidRPr="00C9240F" w:rsidP="00C9240F">
      <w:pPr>
        <w:pStyle w:val="ListBullet"/>
      </w:pPr>
      <w:r w:rsidRPr="00C9240F">
        <w:t xml:space="preserve">cleaning components and applying lubricants correctly in an appropriate work environment </w:t>
      </w:r>
    </w:p>
    <w:p w:rsidR="00000000" w:rsidRPr="00C9240F" w:rsidP="00C9240F">
      <w:pPr>
        <w:pStyle w:val="ListBullet"/>
      </w:pPr>
      <w:r w:rsidRPr="00C9240F">
        <w:t>servic</w:t>
      </w:r>
      <w:r w:rsidRPr="00C9240F">
        <w:t>ing barrel and mainspring slipping device in accordance with procedures</w:t>
      </w:r>
    </w:p>
    <w:p w:rsidR="00000000" w:rsidRPr="00C9240F" w:rsidP="00C9240F">
      <w:pPr>
        <w:pStyle w:val="ListBullet"/>
      </w:pPr>
      <w:r w:rsidRPr="00C9240F">
        <w:t xml:space="preserve">undertaking function and watch performance and rate tests </w:t>
      </w:r>
    </w:p>
    <w:p w:rsidR="00000000" w:rsidRPr="00C9240F" w:rsidP="00C9240F">
      <w:pPr>
        <w:pStyle w:val="ListBullet"/>
      </w:pPr>
      <w:r w:rsidRPr="00C9240F">
        <w:t xml:space="preserve">performing wear and power generation tests </w:t>
      </w:r>
    </w:p>
    <w:p w:rsidR="00000000" w:rsidRPr="00C9240F" w:rsidP="00C9240F">
      <w:pPr>
        <w:pStyle w:val="ListBullet"/>
      </w:pPr>
      <w:r w:rsidRPr="00C9240F">
        <w:t>recording and documenting repairs.</w:t>
      </w:r>
    </w:p>
    <w:p w:rsidR="00000000" w:rsidRPr="00C9240F" w:rsidP="00C9240F">
      <w:pPr>
        <w:pStyle w:val="AllowPageBreak"/>
      </w:pPr>
    </w:p>
    <w:p w:rsidR="00000000" w:rsidRPr="00C9240F" w:rsidP="00C9240F">
      <w:pPr>
        <w:pStyle w:val="Heading1"/>
      </w:pPr>
      <w:bookmarkStart w:id="12" w:name="O_951291"/>
      <w:bookmarkEnd w:id="12"/>
      <w:r w:rsidRPr="00C9240F">
        <w:t>Knowledge Evidence</w:t>
      </w:r>
    </w:p>
    <w:p w:rsidR="00000000" w:rsidRPr="00C9240F" w:rsidP="006E7CA0">
      <w:pPr>
        <w:pStyle w:val="BodyText"/>
      </w:pPr>
      <w:r w:rsidRPr="00C9240F">
        <w:t>Evidence required to demonstrate the required knowledge for this unit must be relevant to and satisfy the requirements of the elements and performance criteria and include knowledge of:</w:t>
      </w:r>
    </w:p>
    <w:p w:rsidR="00000000" w:rsidRPr="00C9240F" w:rsidP="00C9240F">
      <w:pPr>
        <w:pStyle w:val="ListBullet"/>
      </w:pPr>
      <w:r w:rsidRPr="00C9240F">
        <w:t>safe work practices and procedures and use of personal protective equ</w:t>
      </w:r>
      <w:r w:rsidRPr="00C9240F">
        <w:t>ipment (PPE)</w:t>
      </w:r>
    </w:p>
    <w:p w:rsidR="00000000" w:rsidRPr="00C9240F" w:rsidP="00C9240F">
      <w:pPr>
        <w:pStyle w:val="ListBullet"/>
      </w:pPr>
      <w:r w:rsidRPr="00C9240F">
        <w:t>types of self-winding or quartz generating watch</w:t>
      </w:r>
    </w:p>
    <w:p w:rsidR="00000000" w:rsidRPr="00C9240F" w:rsidP="00C9240F">
      <w:pPr>
        <w:pStyle w:val="ListBullet"/>
      </w:pPr>
      <w:r w:rsidRPr="00C9240F">
        <w:t>components of a self-winding or quartz generating mechanism</w:t>
      </w:r>
    </w:p>
    <w:p w:rsidR="00000000" w:rsidRPr="00C9240F" w:rsidP="00C9240F">
      <w:pPr>
        <w:pStyle w:val="ListBullet"/>
      </w:pPr>
      <w:r w:rsidRPr="00C9240F">
        <w:t xml:space="preserve">inspection and fault-finding procedures of self-winding or quartz generating mechanisms </w:t>
      </w:r>
    </w:p>
    <w:p w:rsidR="00000000" w:rsidRPr="00C9240F" w:rsidP="00C9240F">
      <w:pPr>
        <w:pStyle w:val="ListBullet"/>
      </w:pPr>
      <w:r w:rsidRPr="00C9240F">
        <w:t>lubrication techniques of self-winding or qua</w:t>
      </w:r>
      <w:r w:rsidRPr="00C9240F">
        <w:t xml:space="preserve">rtz generating mechanisms </w:t>
      </w:r>
    </w:p>
    <w:p w:rsidR="00000000" w:rsidRPr="00C9240F" w:rsidP="00C9240F">
      <w:pPr>
        <w:pStyle w:val="ListBullet"/>
      </w:pPr>
      <w:r w:rsidRPr="00C9240F">
        <w:t xml:space="preserve">function of the barrel and mainspring slipping device </w:t>
      </w:r>
    </w:p>
    <w:p w:rsidR="00000000" w:rsidRPr="00C9240F" w:rsidP="00C9240F">
      <w:pPr>
        <w:pStyle w:val="ListBullet"/>
      </w:pPr>
      <w:r w:rsidRPr="00C9240F">
        <w:t>performance tests for self-winding or quartz generating mechanisms.</w:t>
      </w:r>
    </w:p>
    <w:p w:rsidR="00000000" w:rsidRPr="00C9240F" w:rsidP="00C9240F">
      <w:pPr>
        <w:pStyle w:val="AllowPageBreak"/>
      </w:pPr>
    </w:p>
    <w:p w:rsidR="00000000" w:rsidRPr="00C9240F" w:rsidP="00C9240F">
      <w:pPr>
        <w:pStyle w:val="Heading1"/>
      </w:pPr>
      <w:bookmarkStart w:id="13" w:name="O_951290"/>
      <w:bookmarkEnd w:id="13"/>
      <w:r w:rsidRPr="00C9240F">
        <w:t>Assessment Conditions</w:t>
      </w:r>
    </w:p>
    <w:p w:rsidR="00000000" w:rsidRPr="00C9240F" w:rsidP="00C9240F">
      <w:pPr>
        <w:pStyle w:val="ListBullet"/>
      </w:pPr>
      <w:r w:rsidRPr="00C9240F">
        <w:t>Assessors must:</w:t>
      </w:r>
    </w:p>
    <w:p w:rsidR="00000000" w:rsidRPr="00C9240F" w:rsidP="00C9240F">
      <w:pPr>
        <w:pStyle w:val="ListBullet2"/>
      </w:pPr>
      <w:r w:rsidRPr="00C9240F">
        <w:t>have vocational competency in servicing watch pow</w:t>
      </w:r>
      <w:r w:rsidRPr="00C9240F">
        <w:t>er generating systems at least to the level being assessed with relevant industry knowledge and experience</w:t>
      </w:r>
    </w:p>
    <w:p w:rsidR="00000000" w:rsidRPr="00C9240F" w:rsidP="00C9240F">
      <w:pPr>
        <w:pStyle w:val="ListBullet2"/>
      </w:pPr>
      <w:r w:rsidRPr="00C9240F">
        <w:t xml:space="preserve">satisfy the assessor requirements in the </w:t>
      </w:r>
      <w:r w:rsidRPr="00C9240F">
        <w:rPr>
          <w:rStyle w:val="Emphasis"/>
        </w:rPr>
        <w:t xml:space="preserve">Standards for Registered Training Organisations 2015 </w:t>
      </w:r>
      <w:r w:rsidRPr="00C9240F">
        <w:t>or its replacement</w:t>
      </w:r>
      <w:r w:rsidRPr="00C9240F">
        <w:rPr>
          <w:rStyle w:val="Emphasis"/>
        </w:rPr>
        <w:t xml:space="preserve"> </w:t>
      </w:r>
      <w:r w:rsidRPr="00C9240F">
        <w:t xml:space="preserve">and comply with the </w:t>
      </w:r>
      <w:r w:rsidRPr="00C9240F">
        <w:rPr>
          <w:rStyle w:val="Emphasis"/>
        </w:rPr>
        <w:t xml:space="preserve">National Vocational Education and Training Regulator Act 2011, </w:t>
      </w:r>
      <w:r w:rsidRPr="00C9240F">
        <w:t>its replacement</w:t>
      </w:r>
      <w:r w:rsidRPr="00C9240F">
        <w:rPr>
          <w:rStyle w:val="Emphasis"/>
        </w:rPr>
        <w:t xml:space="preserve"> </w:t>
      </w:r>
      <w:r w:rsidRPr="00C9240F">
        <w:t xml:space="preserve">or equivalent legislation covering VET regulation in a non-referring state/territory as the </w:t>
      </w:r>
      <w:r w:rsidRPr="00C9240F">
        <w:t>case requires</w:t>
      </w:r>
    </w:p>
    <w:p w:rsidR="00000000" w:rsidRPr="00C9240F" w:rsidP="00C9240F">
      <w:pPr>
        <w:pStyle w:val="ListBullet"/>
      </w:pPr>
      <w:r w:rsidRPr="00C9240F">
        <w:t>Where possible assessment must occur in operational workplace situatio</w:t>
      </w:r>
      <w:r w:rsidRPr="00C9240F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C9240F">
        <w:t>ts of workplace performance, including environment, task skills, task management skills, contingency management skills and job role environment skills</w:t>
      </w:r>
    </w:p>
    <w:p w:rsidR="00000000" w:rsidRPr="00C9240F" w:rsidP="00C9240F">
      <w:pPr>
        <w:pStyle w:val="ListBullet"/>
      </w:pPr>
      <w:r w:rsidRPr="00C9240F">
        <w:t>Conditions for assessment must include access to all tools, equipment, materials and documentation requir</w:t>
      </w:r>
      <w:r w:rsidRPr="00C9240F">
        <w:t>ed, including relevant workplace procedures, product and manufacturing specifications</w:t>
      </w:r>
    </w:p>
    <w:p w:rsidR="00000000" w:rsidRPr="00C9240F" w:rsidP="00C9240F">
      <w:pPr>
        <w:pStyle w:val="ListBullet"/>
      </w:pPr>
      <w:r w:rsidRPr="00C9240F">
        <w:t>Assessment processes and techniques must be appropriate to the language, literacy and numeracy requirements of the work being performed and the needs of the candidate.</w:t>
      </w:r>
    </w:p>
    <w:p w:rsidR="00000000" w:rsidRPr="00C9240F" w:rsidP="00C9240F">
      <w:pPr>
        <w:pStyle w:val="AllowPageBreak"/>
      </w:pPr>
    </w:p>
    <w:p w:rsidR="00000000" w:rsidRPr="00C9240F" w:rsidP="00C9240F">
      <w:pPr>
        <w:pStyle w:val="Heading1"/>
      </w:pPr>
      <w:bookmarkStart w:id="14" w:name="O_951288"/>
      <w:bookmarkEnd w:id="14"/>
      <w:r w:rsidRPr="00C9240F">
        <w:t>Links</w:t>
      </w:r>
    </w:p>
    <w:p w:rsidR="00000000" w:rsidRPr="00C9240F" w:rsidP="006E7CA0">
      <w:pPr>
        <w:pStyle w:val="BodyText"/>
      </w:pPr>
      <w:r w:rsidRPr="00C92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04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240F" w:rsidP="00C9240F"/>
    <w:sectPr w:rsidSect="00C924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 w:rsidRPr="006E7CA0" w:rsidP="006E7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A0" w:rsidP="00C9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7CA0" w:rsidP="00C9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7CA0" w:rsidP="00C924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 w:rsidP="00C9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7CA0">
      <w:t>Approved</w:t>
    </w:r>
    <w:r w:rsidR="006E7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7C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7CA0">
      <w:rPr>
        <w:noProof/>
      </w:rPr>
      <w:t>6</w:t>
    </w:r>
    <w:r>
      <w:rPr>
        <w:noProof/>
      </w:rPr>
      <w:fldChar w:fldCharType="end"/>
    </w:r>
  </w:p>
  <w:p w:rsidR="00C9240F" w:rsidP="00C9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7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7CA0">
      <w:t>Manufacturing Industry Skills Alliance</w:t>
    </w:r>
    <w:r w:rsidR="006E7CA0">
      <w:fldChar w:fldCharType="end"/>
    </w:r>
  </w:p>
  <w:p w:rsidR="00C9240F" w:rsidP="00C92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40F" w:rsidRPr="006E7CA0" w:rsidP="006E7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A0" w:rsidRPr="002D2AF8" w:rsidP="00C9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MEM21010 Service watch power generating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7CA0" w:rsidP="00C924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0F" w:rsidRPr="002D2AF8" w:rsidP="00C9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7CA0">
      <w:t>MEM21010 Service watch power generating systems</w:t>
    </w:r>
    <w:r w:rsidR="006E7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7CA0">
      <w:rPr>
        <w:noProof/>
      </w:rPr>
      <w:t>2 March 2025</w:t>
    </w:r>
    <w:r>
      <w:fldChar w:fldCharType="end"/>
    </w:r>
  </w:p>
  <w:p w:rsidR="00C9240F" w:rsidP="00C92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068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F80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861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40F"/>
  </w:style>
  <w:style w:type="character" w:customStyle="1" w:styleId="Heading1Char">
    <w:name w:val="Heading 1 Char"/>
    <w:basedOn w:val="DefaultParagraphFont"/>
    <w:link w:val="Heading1"/>
    <w:rsid w:val="00C92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4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40F"/>
    <w:rPr>
      <w:b/>
      <w:spacing w:val="0"/>
    </w:rPr>
  </w:style>
  <w:style w:type="paragraph" w:styleId="ListBullet2">
    <w:name w:val="List Bullet 2"/>
    <w:basedOn w:val="List2"/>
    <w:rsid w:val="00C924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240F"/>
    <w:rPr>
      <w:i/>
    </w:rPr>
  </w:style>
  <w:style w:type="paragraph" w:customStyle="1" w:styleId="SuperHeading">
    <w:name w:val="SuperHeading"/>
    <w:basedOn w:val="Normal"/>
    <w:rsid w:val="00C92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4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40F"/>
  </w:style>
  <w:style w:type="paragraph" w:styleId="TableofFigures">
    <w:name w:val="table of figures"/>
    <w:basedOn w:val="Normal"/>
    <w:next w:val="Normal"/>
    <w:semiHidden/>
    <w:rsid w:val="00C92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4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40F"/>
    <w:rPr>
      <w:rFonts w:ascii="Wingdings" w:hAnsi="Wingdings"/>
    </w:rPr>
  </w:style>
  <w:style w:type="paragraph" w:customStyle="1" w:styleId="TableHeading">
    <w:name w:val="Table Heading"/>
    <w:basedOn w:val="HeadingBase"/>
    <w:rsid w:val="00C92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40F"/>
    <w:rPr>
      <w:color w:val="0033CC"/>
      <w:u w:val="none"/>
    </w:rPr>
  </w:style>
  <w:style w:type="paragraph" w:customStyle="1" w:styleId="BodyTextRight">
    <w:name w:val="Body Text Right"/>
    <w:basedOn w:val="BodyText"/>
    <w:rsid w:val="00C92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4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40F"/>
    <w:rPr>
      <w:sz w:val="32"/>
    </w:rPr>
  </w:style>
  <w:style w:type="paragraph" w:customStyle="1" w:styleId="HeadingProcedure">
    <w:name w:val="Heading Procedure"/>
    <w:basedOn w:val="HeadingBase"/>
    <w:next w:val="Normal"/>
    <w:rsid w:val="00C92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40F"/>
    <w:pPr>
      <w:spacing w:before="60" w:after="60"/>
    </w:pPr>
  </w:style>
  <w:style w:type="paragraph" w:styleId="ListContinue">
    <w:name w:val="List Continue"/>
    <w:basedOn w:val="List"/>
    <w:rsid w:val="00C9240F"/>
    <w:pPr>
      <w:ind w:firstLine="0"/>
    </w:pPr>
  </w:style>
  <w:style w:type="paragraph" w:customStyle="1" w:styleId="ListNote">
    <w:name w:val="List Note"/>
    <w:basedOn w:val="List"/>
    <w:rsid w:val="00C92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40F"/>
    <w:rPr>
      <w:rFonts w:ascii="Courier New" w:hAnsi="Courier New"/>
    </w:rPr>
  </w:style>
  <w:style w:type="paragraph" w:customStyle="1" w:styleId="NoteBullet">
    <w:name w:val="Note Bullet"/>
    <w:basedOn w:val="Note"/>
    <w:rsid w:val="00C92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4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40F"/>
    <w:rPr>
      <w:b/>
      <w:smallCaps/>
    </w:rPr>
  </w:style>
  <w:style w:type="paragraph" w:customStyle="1" w:styleId="TableListNumber">
    <w:name w:val="Table List Number"/>
    <w:basedOn w:val="ListNumber"/>
    <w:rsid w:val="00C92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40F"/>
    <w:pPr>
      <w:numPr>
        <w:numId w:val="9"/>
      </w:numPr>
    </w:pPr>
  </w:style>
  <w:style w:type="paragraph" w:customStyle="1" w:styleId="ListAlpha2">
    <w:name w:val="List Alpha 2"/>
    <w:basedOn w:val="List2"/>
    <w:rsid w:val="00C9240F"/>
    <w:pPr>
      <w:numPr>
        <w:numId w:val="8"/>
      </w:numPr>
    </w:pPr>
  </w:style>
  <w:style w:type="paragraph" w:styleId="List2">
    <w:name w:val="List 2"/>
    <w:basedOn w:val="BodyText"/>
    <w:rsid w:val="00C92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4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4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40F"/>
    <w:pPr>
      <w:numPr>
        <w:numId w:val="4"/>
      </w:numPr>
    </w:pPr>
  </w:style>
  <w:style w:type="paragraph" w:styleId="ListContinue2">
    <w:name w:val="List Continue 2"/>
    <w:basedOn w:val="List2"/>
    <w:rsid w:val="00C9240F"/>
    <w:pPr>
      <w:ind w:firstLine="0"/>
    </w:pPr>
  </w:style>
  <w:style w:type="paragraph" w:styleId="ListContinue3">
    <w:name w:val="List Continue 3"/>
    <w:basedOn w:val="List3"/>
    <w:rsid w:val="00C9240F"/>
    <w:pPr>
      <w:ind w:left="1021" w:firstLine="0"/>
    </w:pPr>
  </w:style>
  <w:style w:type="paragraph" w:styleId="ListContinue4">
    <w:name w:val="List Continue 4"/>
    <w:basedOn w:val="List4"/>
    <w:rsid w:val="00C9240F"/>
    <w:pPr>
      <w:ind w:firstLine="0"/>
    </w:pPr>
  </w:style>
  <w:style w:type="paragraph" w:styleId="ListContinue5">
    <w:name w:val="List Continue 5"/>
    <w:basedOn w:val="List5"/>
    <w:rsid w:val="00C9240F"/>
    <w:pPr>
      <w:ind w:firstLine="0"/>
    </w:pPr>
  </w:style>
  <w:style w:type="paragraph" w:styleId="ListNumber3">
    <w:name w:val="List Number 3"/>
    <w:basedOn w:val="List3"/>
    <w:rsid w:val="00C9240F"/>
    <w:pPr>
      <w:numPr>
        <w:numId w:val="5"/>
      </w:numPr>
    </w:pPr>
  </w:style>
  <w:style w:type="paragraph" w:styleId="ListNumber4">
    <w:name w:val="List Number 4"/>
    <w:basedOn w:val="List4"/>
    <w:rsid w:val="00C9240F"/>
    <w:pPr>
      <w:numPr>
        <w:numId w:val="6"/>
      </w:numPr>
    </w:pPr>
  </w:style>
  <w:style w:type="paragraph" w:styleId="ListNumber5">
    <w:name w:val="List Number 5"/>
    <w:basedOn w:val="List5"/>
    <w:rsid w:val="00C9240F"/>
    <w:pPr>
      <w:numPr>
        <w:numId w:val="7"/>
      </w:numPr>
    </w:pPr>
  </w:style>
  <w:style w:type="paragraph" w:styleId="BlockText">
    <w:name w:val="Block Text"/>
    <w:basedOn w:val="Normal"/>
    <w:rsid w:val="00C92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40F"/>
    <w:rPr>
      <w:sz w:val="16"/>
      <w:vertAlign w:val="superscript"/>
    </w:rPr>
  </w:style>
  <w:style w:type="character" w:customStyle="1" w:styleId="Symbols">
    <w:name w:val="Symbols"/>
    <w:basedOn w:val="DefaultParagraphFont"/>
    <w:rsid w:val="00C9240F"/>
    <w:rPr>
      <w:rFonts w:ascii="Symbol" w:hAnsi="Symbol"/>
    </w:rPr>
  </w:style>
  <w:style w:type="character" w:customStyle="1" w:styleId="MenuOptions">
    <w:name w:val="Menu Options"/>
    <w:basedOn w:val="DefaultParagraphFont"/>
    <w:rsid w:val="00C92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40F"/>
    <w:rPr>
      <w:b/>
    </w:rPr>
  </w:style>
  <w:style w:type="character" w:customStyle="1" w:styleId="Underlined">
    <w:name w:val="Underlined"/>
    <w:basedOn w:val="DefaultParagraphFont"/>
    <w:rsid w:val="00C9240F"/>
    <w:rPr>
      <w:u w:val="single"/>
    </w:rPr>
  </w:style>
  <w:style w:type="paragraph" w:customStyle="1" w:styleId="TableBodyTextRight">
    <w:name w:val="Table Body Text Right"/>
    <w:basedOn w:val="TableBodyText"/>
    <w:rsid w:val="00C92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40F"/>
    <w:rPr>
      <w:sz w:val="18"/>
    </w:rPr>
  </w:style>
  <w:style w:type="paragraph" w:customStyle="1" w:styleId="BodySmallRight">
    <w:name w:val="Body Small Right"/>
    <w:basedOn w:val="BodyTextRight"/>
    <w:rsid w:val="00C9240F"/>
    <w:rPr>
      <w:sz w:val="18"/>
      <w:szCs w:val="18"/>
    </w:rPr>
  </w:style>
  <w:style w:type="paragraph" w:customStyle="1" w:styleId="MarginEdition">
    <w:name w:val="Margin Edition"/>
    <w:basedOn w:val="MarginNote"/>
    <w:rsid w:val="00C92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40F"/>
    <w:rPr>
      <w:sz w:val="2"/>
      <w:szCs w:val="2"/>
    </w:rPr>
  </w:style>
  <w:style w:type="character" w:customStyle="1" w:styleId="Small">
    <w:name w:val="Small"/>
    <w:basedOn w:val="DefaultParagraphFont"/>
    <w:rsid w:val="00C9240F"/>
    <w:rPr>
      <w:sz w:val="16"/>
    </w:rPr>
  </w:style>
  <w:style w:type="paragraph" w:customStyle="1" w:styleId="WideTable">
    <w:name w:val="Wide Table"/>
    <w:basedOn w:val="Normal"/>
    <w:rsid w:val="00C92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40F"/>
  </w:style>
  <w:style w:type="paragraph" w:styleId="Quote">
    <w:name w:val="Quote"/>
    <w:basedOn w:val="Heading1"/>
    <w:link w:val="QuoteChar"/>
    <w:qFormat/>
    <w:rsid w:val="00C92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40F"/>
    <w:pPr>
      <w:pageBreakBefore/>
    </w:pPr>
  </w:style>
  <w:style w:type="paragraph" w:customStyle="1" w:styleId="Border">
    <w:name w:val="Border"/>
    <w:basedOn w:val="Normal"/>
    <w:qFormat/>
    <w:rsid w:val="00C92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40F"/>
    <w:rPr>
      <w:u w:val="single"/>
    </w:rPr>
  </w:style>
  <w:style w:type="character" w:customStyle="1" w:styleId="BoldandItalics">
    <w:name w:val="Bold and Italics"/>
    <w:qFormat/>
    <w:rsid w:val="00C9240F"/>
    <w:rPr>
      <w:b/>
      <w:i/>
      <w:u w:val="none"/>
    </w:rPr>
  </w:style>
  <w:style w:type="paragraph" w:styleId="BalloonText">
    <w:name w:val="Balloon Text"/>
    <w:basedOn w:val="Normal"/>
    <w:link w:val="BalloonTextChar"/>
    <w:rsid w:val="00C9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40F"/>
    <w:pPr>
      <w:spacing w:before="0" w:after="0"/>
    </w:pPr>
  </w:style>
  <w:style w:type="paragraph" w:customStyle="1" w:styleId="BodyTextBold">
    <w:name w:val="Body Text Bold"/>
    <w:basedOn w:val="BodyText"/>
    <w:qFormat/>
    <w:rsid w:val="00C9240F"/>
    <w:rPr>
      <w:b/>
    </w:rPr>
  </w:style>
  <w:style w:type="character" w:styleId="Hyperlink">
    <w:name w:val="Hyperlink"/>
    <w:basedOn w:val="DefaultParagraphFont"/>
    <w:uiPriority w:val="99"/>
    <w:unhideWhenUsed/>
    <w:rsid w:val="006E7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1305</Words>
  <Characters>8497</Characters>
  <Application>Microsoft Office Word</Application>
  <DocSecurity>0</DocSecurity>
  <Lines>369</Lines>
  <Paragraphs>217</Paragraphs>
  <ScaleCrop>false</ScaleCrop>
  <Company>Author-it Software Corporation Ltd.</Company>
  <LinksUpToDate>false</LinksUpToDate>
  <CharactersWithSpaces>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MEM21010 Service watch power generating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