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49B" w:rsidP="001B7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MEM21007 Service complex quartz watches</w:t>
      </w:r>
      <w:r>
        <w:fldChar w:fldCharType="end"/>
      </w:r>
    </w:p>
    <w:p w:rsidR="001B749B" w:rsidP="001B749B">
      <w:pPr>
        <w:pStyle w:val="Version"/>
        <w:sectPr w:rsidSect="00F56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0EE" w:rsidP="00F560EE">
      <w:pPr>
        <w:pStyle w:val="SuperHeading"/>
      </w:pPr>
      <w:r w:rsidRPr="00F560EE">
        <w:t>MEM21007 Service complex quartz watches</w:t>
      </w:r>
    </w:p>
    <w:p w:rsidR="00000000" w:rsidRPr="00F560EE" w:rsidP="00F560EE">
      <w:pPr>
        <w:pStyle w:val="Heading1"/>
      </w:pPr>
      <w:bookmarkStart w:id="1" w:name="O_951236"/>
      <w:bookmarkEnd w:id="1"/>
      <w:r w:rsidRPr="00F560EE">
        <w:t>Modification History</w:t>
      </w:r>
    </w:p>
    <w:p w:rsidR="00000000" w:rsidRPr="00F560EE" w:rsidP="001B749B">
      <w:pPr>
        <w:pStyle w:val="BodyText"/>
      </w:pPr>
      <w:r w:rsidRPr="00F560EE">
        <w:t xml:space="preserve">Release 1. Supersedes and is equivalent to MEM21007A Service complex quartz watches </w:t>
      </w:r>
    </w:p>
    <w:p w:rsidR="00000000" w:rsidRPr="00F560EE" w:rsidP="00F560EE">
      <w:pPr>
        <w:pStyle w:val="Heading1"/>
      </w:pPr>
      <w:bookmarkStart w:id="2" w:name="O_951244"/>
      <w:bookmarkEnd w:id="2"/>
      <w:r w:rsidRPr="00F560EE">
        <w:t>Application</w:t>
      </w:r>
    </w:p>
    <w:p w:rsidR="00000000" w:rsidRPr="00F560EE" w:rsidP="001B749B">
      <w:pPr>
        <w:pStyle w:val="BodyText"/>
      </w:pPr>
      <w:r w:rsidRPr="00F560EE">
        <w:t>This unit of competency defines the skills and knowledge required to service complex quartz analog, digital and duo displ</w:t>
      </w:r>
      <w:r w:rsidRPr="00F560EE">
        <w:t>ay watches, including chronographs and perpetual calendars with multiple step motors and ultrasonic step motor calendar driving systems.</w:t>
      </w:r>
    </w:p>
    <w:p w:rsidR="00000000" w:rsidRPr="00F560EE" w:rsidP="001B749B">
      <w:pPr>
        <w:pStyle w:val="BodyText"/>
      </w:pPr>
      <w:r w:rsidRPr="00F560EE">
        <w:t>No licensing, legislative or certification requirements apply to this unit at the time of publication.</w:t>
      </w:r>
    </w:p>
    <w:p w:rsidR="00000000" w:rsidRPr="00F560EE" w:rsidP="001B749B">
      <w:pPr>
        <w:pStyle w:val="Heading3"/>
      </w:pPr>
      <w:r w:rsidRPr="00F560EE">
        <w:rPr>
          <w:rStyle w:val="SpecialBold"/>
        </w:rPr>
        <w:t>Band:  A</w:t>
      </w:r>
    </w:p>
    <w:p w:rsidR="00000000" w:rsidRPr="00F560EE" w:rsidP="001B749B">
      <w:pPr>
        <w:pStyle w:val="Heading3"/>
      </w:pPr>
      <w:r w:rsidRPr="00F560EE">
        <w:rPr>
          <w:rStyle w:val="SpecialBold"/>
        </w:rPr>
        <w:t xml:space="preserve">Unit </w:t>
      </w:r>
      <w:r w:rsidRPr="00F560EE">
        <w:rPr>
          <w:rStyle w:val="SpecialBold"/>
        </w:rPr>
        <w:t xml:space="preserve">weight:  4 </w:t>
      </w:r>
    </w:p>
    <w:p w:rsidR="00000000" w:rsidRPr="00F560EE" w:rsidP="00F560EE">
      <w:pPr>
        <w:pStyle w:val="Heading1"/>
      </w:pPr>
      <w:bookmarkStart w:id="3" w:name="O_951243"/>
      <w:bookmarkEnd w:id="3"/>
      <w:r w:rsidRPr="00F560E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Work safely and effectively in manufacturing and engineering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Organise and communicate information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MEM21001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Replace watch batteries, capacitors and bands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MEM21002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Perform watch movement exchange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MEM21005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Diagnose faults in quartz watches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MEM21006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BodyText"/>
            </w:pPr>
            <w:r w:rsidRPr="00F560EE">
              <w:t>Service quartz watches</w:t>
            </w:r>
          </w:p>
        </w:tc>
      </w:tr>
    </w:tbl>
    <w:p w:rsidR="00000000" w:rsidRPr="00F560EE" w:rsidP="00F560EE">
      <w:pPr>
        <w:pStyle w:val="BodyText"/>
      </w:pPr>
    </w:p>
    <w:p w:rsidR="00000000" w:rsidRPr="00F560EE" w:rsidP="00F560EE">
      <w:pPr>
        <w:pStyle w:val="AllowPageBreak"/>
      </w:pPr>
    </w:p>
    <w:p w:rsidR="00000000" w:rsidRPr="00F560EE" w:rsidP="00F560EE">
      <w:pPr>
        <w:pStyle w:val="Heading1"/>
      </w:pPr>
      <w:bookmarkStart w:id="4" w:name="O_951242"/>
      <w:bookmarkEnd w:id="4"/>
      <w:r w:rsidRPr="00F560EE">
        <w:t>Competency Field</w:t>
      </w:r>
    </w:p>
    <w:p w:rsidR="00000000" w:rsidRPr="00F560EE" w:rsidP="001B749B">
      <w:pPr>
        <w:pStyle w:val="BodyText"/>
      </w:pPr>
      <w:r w:rsidRPr="00F560EE">
        <w:t>Horology</w:t>
      </w:r>
    </w:p>
    <w:p w:rsidR="00000000" w:rsidRPr="00F560EE" w:rsidP="00F560EE">
      <w:pPr>
        <w:pStyle w:val="Heading1"/>
      </w:pPr>
      <w:bookmarkStart w:id="5" w:name="O_951240"/>
      <w:bookmarkEnd w:id="5"/>
      <w:r w:rsidRPr="00F560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Performa</w:t>
            </w:r>
            <w:r w:rsidRPr="00F560EE">
              <w:t>nce criteria describe the performance needed to demonstrate achievement of the element.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BodyText"/>
            </w:pPr>
            <w:r w:rsidRPr="00F560E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Follow standard operating procedures (SOPs)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Comply with work health and safety (WHS) requirements at all times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Identify watch functions and features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Prepare written quotation and inform customer of watch condition and performance concerns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Outline recommended s</w:t>
            </w:r>
            <w:r w:rsidRPr="00F560EE">
              <w:t>ervice procedures to be undertaken to remedy identified faults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Verify and agree on servicing requirements with customer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Prepare watch for handover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Record and document repair process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BodyText"/>
            </w:pPr>
            <w:r w:rsidRPr="00F560E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Disassemble complex quartz watch cases, movements and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Establish appropriate working environment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Select and use appropriate personal protective equipment (PPE) in accordance with SOPs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Select and use appropriate workshop tools</w:t>
            </w:r>
            <w:r w:rsidRPr="00F560EE">
              <w:t xml:space="preserve"> and equipment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Open and close watch cases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Remove case components and movement without damaging or marking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Verify gasket condition and replace, as required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Clean cases and bands, as required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BodyText"/>
            </w:pPr>
            <w:r w:rsidRPr="00F560E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Service complex quartz watch case and movement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 xml:space="preserve">Inspect condition of movement and case components 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Confirm servicing requirements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Replace faulty or worn component parts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3.4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Clean and inspect watch case and components for cleanliness and rectify imperfections and faults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BodyText"/>
            </w:pPr>
            <w:r w:rsidRPr="00F560E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Reassemble and test complex quartz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Reassemble multiple step motors, perpetual calendar mechanisms, watch movement and case components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Perform work according to manufacturer guidelines and specifications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Confirm correct assembly and operation of gear train and perpetual calenda</w:t>
            </w:r>
            <w:r w:rsidRPr="00F560EE">
              <w:t>r driving system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Use correct types and amounts of lubricant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Use specialist service tools, jigs and testing equipment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Verify watch functioning of calendar and chronograph mechanisms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Verify and adjust watch performance and rate testing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BodyText"/>
            </w:pPr>
            <w:r w:rsidRPr="00F560EE">
              <w:t>Perform resetting and zeroing and synchronising of chronograph and perpetual calendar displays</w:t>
            </w:r>
          </w:p>
        </w:tc>
      </w:tr>
    </w:tbl>
    <w:p w:rsidR="001B749B" w:rsidP="00F560EE">
      <w:pPr>
        <w:pStyle w:val="BodyText"/>
      </w:pPr>
    </w:p>
    <w:p w:rsidR="001B749B" w:rsidP="00F560EE">
      <w:pPr>
        <w:pStyle w:val="BodyText"/>
      </w:pPr>
    </w:p>
    <w:p w:rsidR="00000000" w:rsidRPr="00F560EE" w:rsidP="00F560EE">
      <w:pPr>
        <w:pStyle w:val="Heading1"/>
      </w:pPr>
      <w:bookmarkStart w:id="6" w:name="O_951239"/>
      <w:bookmarkEnd w:id="6"/>
      <w:r w:rsidRPr="00F560EE">
        <w:t>Foundation Skills</w:t>
      </w:r>
    </w:p>
    <w:p w:rsidR="00000000" w:rsidRPr="00F560EE" w:rsidP="001B749B">
      <w:pPr>
        <w:pStyle w:val="BodyText"/>
      </w:pPr>
      <w:r w:rsidRPr="00F560EE">
        <w:t xml:space="preserve">This section describes </w:t>
      </w:r>
      <w:r w:rsidRPr="00F560EE">
        <w:t xml:space="preserve">those required skills (reading, writing, oral communication and numeracy) that are essential to workplace performance in this unit of competency.  </w:t>
      </w:r>
    </w:p>
    <w:p w:rsidR="00000000" w:rsidRPr="00F560EE" w:rsidP="001B749B">
      <w:pPr>
        <w:pStyle w:val="BodyText"/>
      </w:pPr>
      <w:r w:rsidRPr="00F560EE">
        <w:t>Foundation skills essential to performance are explicit in the performance criteria of this unit of compete</w:t>
      </w:r>
      <w:r w:rsidRPr="00F560EE">
        <w:t>ncy.</w:t>
      </w:r>
    </w:p>
    <w:p w:rsidR="00000000" w:rsidRPr="00F560EE" w:rsidP="00F560EE">
      <w:pPr>
        <w:pStyle w:val="Heading1"/>
      </w:pPr>
      <w:bookmarkStart w:id="7" w:name="O_951238"/>
      <w:bookmarkEnd w:id="7"/>
      <w:r w:rsidRPr="00F560E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F560EE">
              <w:t>ty of the item, and local industry and regional contexts) are included.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Complex quartz watch functions and features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ListBullet"/>
            </w:pPr>
            <w:r w:rsidRPr="00F560EE">
              <w:t>chronograph</w:t>
            </w:r>
          </w:p>
          <w:p w:rsidR="00000000" w:rsidRPr="00F560EE" w:rsidP="00F560EE">
            <w:pPr>
              <w:pStyle w:val="ListBullet"/>
            </w:pPr>
            <w:r w:rsidRPr="00F560EE">
              <w:t>perpetual calendar</w:t>
            </w:r>
          </w:p>
          <w:p w:rsidR="00000000" w:rsidRPr="00F560EE" w:rsidP="00F560EE">
            <w:pPr>
              <w:pStyle w:val="ListBullet"/>
            </w:pPr>
            <w:r w:rsidRPr="00F560EE">
              <w:t>repeater</w:t>
            </w:r>
          </w:p>
          <w:p w:rsidR="00000000" w:rsidRPr="00F560EE" w:rsidP="00F560EE">
            <w:pPr>
              <w:pStyle w:val="ListBullet"/>
            </w:pPr>
            <w:r w:rsidRPr="00F560EE">
              <w:t>perpetual calendar with multiple step motors</w:t>
            </w:r>
          </w:p>
          <w:p w:rsidR="00000000" w:rsidP="00F560EE">
            <w:pPr>
              <w:pStyle w:val="ListBullet"/>
              <w:rPr>
                <w:lang w:val="en-NZ"/>
              </w:rPr>
            </w:pPr>
            <w:r w:rsidRPr="00F560EE">
              <w:t>ultrasonic step motor calendar driving systems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Record and document repair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ListBullet"/>
            </w:pPr>
            <w:r w:rsidRPr="00F560EE">
              <w:t xml:space="preserve">customer written quotation detailing faults </w:t>
            </w:r>
          </w:p>
          <w:p w:rsidR="00000000" w:rsidRPr="00F560EE" w:rsidP="00F560EE">
            <w:pPr>
              <w:pStyle w:val="ListBullet"/>
            </w:pPr>
            <w:r w:rsidRPr="00F560EE">
              <w:t xml:space="preserve">recommendations of most appropriate service procedure </w:t>
            </w:r>
          </w:p>
          <w:p w:rsidR="00000000" w:rsidRPr="00F560EE" w:rsidP="00F560EE">
            <w:pPr>
              <w:pStyle w:val="ListBullet"/>
            </w:pPr>
            <w:r w:rsidRPr="00F560EE">
              <w:t>cost estimation of replacemen</w:t>
            </w:r>
            <w:r w:rsidRPr="00F560EE">
              <w:t>t part</w:t>
            </w:r>
          </w:p>
          <w:p w:rsidR="00000000" w:rsidP="00F560EE">
            <w:pPr>
              <w:pStyle w:val="ListBullet"/>
              <w:rPr>
                <w:lang w:val="en-NZ"/>
              </w:rPr>
            </w:pPr>
            <w:r w:rsidRPr="00F560EE">
              <w:t>time spent on procedure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ListBullet"/>
            </w:pPr>
            <w:r w:rsidRPr="00F560EE">
              <w:t>suitable watchmakers</w:t>
            </w:r>
            <w:r>
              <w:t>’</w:t>
            </w:r>
            <w:r w:rsidRPr="00F560EE">
              <w:t xml:space="preserve"> bench </w:t>
            </w:r>
          </w:p>
          <w:p w:rsidR="00000000" w:rsidRPr="00F560EE" w:rsidP="00F560EE">
            <w:pPr>
              <w:pStyle w:val="ListBullet"/>
            </w:pPr>
            <w:r w:rsidRPr="00F560EE">
              <w:t>clean and orderly work area (precautions taken to minimise dust)</w:t>
            </w:r>
          </w:p>
          <w:p w:rsidR="00000000" w:rsidRPr="00F560EE" w:rsidP="00F560EE">
            <w:pPr>
              <w:pStyle w:val="ListBullet"/>
            </w:pPr>
            <w:r w:rsidRPr="00F560EE">
              <w:t>suitable lighting and adequate ventilation</w:t>
            </w:r>
          </w:p>
          <w:p w:rsidR="00000000" w:rsidP="00F560EE">
            <w:pPr>
              <w:pStyle w:val="ListBullet"/>
              <w:rPr>
                <w:lang w:val="en-NZ"/>
              </w:rPr>
            </w:pPr>
            <w:r w:rsidRPr="00F560EE">
              <w:t>ergonomic chair with adjustabl</w:t>
            </w:r>
            <w:r w:rsidRPr="00F560EE">
              <w:t xml:space="preserve">e height 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Workshop tools and equipment include one (1) or more of the following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ListBullet"/>
            </w:pPr>
            <w:r w:rsidRPr="00F560EE">
              <w:t>timing machine</w:t>
            </w:r>
          </w:p>
          <w:p w:rsidR="00000000" w:rsidRPr="00F560EE" w:rsidP="00F560EE">
            <w:pPr>
              <w:pStyle w:val="ListBullet"/>
            </w:pPr>
            <w:r w:rsidRPr="00F560EE">
              <w:t>multimeter</w:t>
            </w:r>
          </w:p>
          <w:p w:rsidR="00000000" w:rsidRPr="00F560EE" w:rsidP="00F560EE">
            <w:pPr>
              <w:pStyle w:val="ListBullet"/>
            </w:pPr>
            <w:r w:rsidRPr="00F560EE">
              <w:t>pulse generator</w:t>
            </w:r>
          </w:p>
          <w:p w:rsidR="00000000" w:rsidRPr="00F560EE" w:rsidP="00F560EE">
            <w:pPr>
              <w:pStyle w:val="ListBullet"/>
            </w:pPr>
            <w:r w:rsidRPr="00F560EE">
              <w:t>watch repair and construction hand tools</w:t>
            </w:r>
          </w:p>
          <w:p w:rsidR="00000000" w:rsidRPr="00F560EE" w:rsidP="00F560EE">
            <w:pPr>
              <w:pStyle w:val="ListBullet"/>
            </w:pPr>
            <w:r w:rsidRPr="00F560EE">
              <w:t>case opening and closing tools</w:t>
            </w:r>
          </w:p>
          <w:p w:rsidR="00000000" w:rsidRPr="00F560EE" w:rsidP="00F560EE">
            <w:pPr>
              <w:pStyle w:val="ListBullet"/>
            </w:pPr>
            <w:r w:rsidRPr="00F560EE">
              <w:t>cleaning media</w:t>
            </w:r>
          </w:p>
          <w:p w:rsidR="00000000" w:rsidRPr="00F560EE" w:rsidP="00F560EE">
            <w:pPr>
              <w:pStyle w:val="ListBullet"/>
            </w:pPr>
            <w:r w:rsidRPr="00F560EE">
              <w:t xml:space="preserve">cleaning machines </w:t>
            </w:r>
          </w:p>
          <w:p w:rsidR="00000000" w:rsidRPr="00F560EE" w:rsidP="00F560EE">
            <w:pPr>
              <w:pStyle w:val="ListBullet"/>
            </w:pPr>
            <w:r w:rsidRPr="00F560EE">
              <w:t>lubricants</w:t>
            </w:r>
          </w:p>
          <w:p w:rsidR="00000000" w:rsidP="00F560EE">
            <w:pPr>
              <w:pStyle w:val="ListBullet"/>
              <w:rPr>
                <w:lang w:val="en-NZ"/>
              </w:rPr>
            </w:pPr>
            <w:r w:rsidRPr="00F560EE">
              <w:t>PPE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Case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ListBullet"/>
            </w:pPr>
            <w:r w:rsidRPr="00F560EE">
              <w:t>watch glasses</w:t>
            </w:r>
          </w:p>
          <w:p w:rsidR="00000000" w:rsidRPr="00F560EE" w:rsidP="00F560EE">
            <w:pPr>
              <w:pStyle w:val="ListBullet"/>
            </w:pPr>
            <w:r w:rsidRPr="00F560EE">
              <w:t>case back</w:t>
            </w:r>
          </w:p>
          <w:p w:rsidR="00000000" w:rsidRPr="00F560EE" w:rsidP="00F560EE">
            <w:pPr>
              <w:pStyle w:val="ListBullet"/>
            </w:pPr>
            <w:r w:rsidRPr="00F560EE">
              <w:t xml:space="preserve">bezel </w:t>
            </w:r>
          </w:p>
          <w:p w:rsidR="00000000" w:rsidRPr="00F560EE" w:rsidP="00F560EE">
            <w:pPr>
              <w:pStyle w:val="ListBullet"/>
            </w:pPr>
            <w:r w:rsidRPr="00F560EE">
              <w:t xml:space="preserve">crown </w:t>
            </w:r>
          </w:p>
          <w:p w:rsidR="00000000" w:rsidRPr="00F560EE" w:rsidP="00F560EE">
            <w:pPr>
              <w:pStyle w:val="ListBullet"/>
            </w:pPr>
            <w:r w:rsidRPr="00F560EE">
              <w:t>pendant</w:t>
            </w:r>
          </w:p>
          <w:p w:rsidR="00000000" w:rsidRPr="00F560EE" w:rsidP="00F560EE">
            <w:pPr>
              <w:pStyle w:val="ListBullet"/>
            </w:pPr>
            <w:r w:rsidRPr="00F560EE">
              <w:t>pushbuttons (arbors and circlips)</w:t>
            </w:r>
          </w:p>
          <w:p w:rsidR="00000000" w:rsidP="00F560EE">
            <w:pPr>
              <w:pStyle w:val="ListBullet"/>
              <w:rPr>
                <w:lang w:val="en-NZ"/>
              </w:rPr>
            </w:pPr>
            <w:r w:rsidRPr="00F560EE">
              <w:t>gaskets</w:t>
            </w:r>
          </w:p>
        </w:tc>
      </w:tr>
      <w:tr w:rsidTr="00F56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EE">
            <w:pPr>
              <w:pStyle w:val="BodyText"/>
              <w:rPr>
                <w:lang w:val="en-NZ"/>
              </w:rPr>
            </w:pPr>
            <w:r w:rsidRPr="00F560EE">
              <w:rPr>
                <w:rStyle w:val="SpecialBold"/>
              </w:rPr>
              <w:t>Watch performance/rate testing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EE" w:rsidP="00F560EE">
            <w:pPr>
              <w:pStyle w:val="ListBullet"/>
            </w:pPr>
            <w:r w:rsidRPr="00F560EE">
              <w:t>current consumption (to manufacture specifications)</w:t>
            </w:r>
          </w:p>
          <w:p w:rsidR="00000000" w:rsidRPr="00F560EE" w:rsidP="00F560EE">
            <w:pPr>
              <w:pStyle w:val="ListBullet"/>
            </w:pPr>
            <w:r w:rsidRPr="00F560EE">
              <w:t>pulse generation</w:t>
            </w:r>
          </w:p>
          <w:p w:rsidR="00000000" w:rsidRPr="00F560EE" w:rsidP="00F560EE">
            <w:pPr>
              <w:pStyle w:val="ListBullet"/>
            </w:pPr>
            <w:r w:rsidRPr="00F560EE">
              <w:t>lower working limit test</w:t>
            </w:r>
          </w:p>
          <w:p w:rsidR="00000000" w:rsidRPr="00F560EE" w:rsidP="00F560EE">
            <w:pPr>
              <w:pStyle w:val="ListBullet"/>
            </w:pPr>
            <w:r w:rsidRPr="00F560EE">
              <w:t>gear train freedom</w:t>
            </w:r>
          </w:p>
          <w:p w:rsidR="00000000" w:rsidRPr="00F560EE" w:rsidP="00F560EE">
            <w:pPr>
              <w:pStyle w:val="ListBullet"/>
            </w:pPr>
            <w:r w:rsidRPr="00F560EE">
              <w:t>types of quartz regulating systems (capacitive, inhibition and thermo-compensation)</w:t>
            </w:r>
          </w:p>
          <w:p w:rsidR="00000000" w:rsidRPr="00F560EE" w:rsidP="00F560EE">
            <w:pPr>
              <w:pStyle w:val="ListBullet"/>
            </w:pPr>
            <w:r w:rsidRPr="00F560EE">
              <w:t xml:space="preserve">rate adjustment for various types of quartz watch (+0.25 - </w:t>
            </w:r>
            <w:r w:rsidRPr="00F560EE">
              <w:t>0.3 seconds/day)</w:t>
            </w:r>
          </w:p>
        </w:tc>
      </w:tr>
    </w:tbl>
    <w:p w:rsidR="00000000" w:rsidRPr="00F560EE" w:rsidP="00F560EE">
      <w:pPr>
        <w:pStyle w:val="BodyText"/>
      </w:pPr>
    </w:p>
    <w:p w:rsidR="00000000" w:rsidRPr="00F560EE" w:rsidP="00F560EE">
      <w:pPr>
        <w:pStyle w:val="AllowPageBreak"/>
      </w:pPr>
    </w:p>
    <w:p w:rsidR="00000000" w:rsidRPr="00F560EE" w:rsidP="00F560EE">
      <w:pPr>
        <w:pStyle w:val="Heading1"/>
      </w:pPr>
      <w:bookmarkStart w:id="8" w:name="O_951237"/>
      <w:bookmarkEnd w:id="8"/>
      <w:r w:rsidRPr="00F560EE">
        <w:t>Unit Mapping Information</w:t>
      </w:r>
    </w:p>
    <w:p w:rsidR="00000000" w:rsidRPr="00F560EE" w:rsidP="001B749B">
      <w:pPr>
        <w:pStyle w:val="BodyText"/>
      </w:pPr>
      <w:r w:rsidRPr="00F560EE">
        <w:t xml:space="preserve">Release 1. Supersedes and is equivalent to MEM21007A Service complex quartz watches </w:t>
      </w:r>
    </w:p>
    <w:p w:rsidR="00000000" w:rsidRPr="00F560EE" w:rsidP="00F560EE">
      <w:pPr>
        <w:pStyle w:val="Heading1"/>
      </w:pPr>
      <w:bookmarkStart w:id="9" w:name="O_951230"/>
      <w:bookmarkEnd w:id="9"/>
      <w:r w:rsidRPr="00F560EE">
        <w:t>Links</w:t>
      </w:r>
    </w:p>
    <w:p w:rsidR="00000000" w:rsidRPr="00F560EE" w:rsidP="001B749B">
      <w:pPr>
        <w:pStyle w:val="BodyText"/>
      </w:pPr>
      <w:r w:rsidRPr="00F560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C12D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560EE" w:rsidP="00F560EE"/>
    <w:sectPr w:rsidSect="00F560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EE" w:rsidRPr="001B749B" w:rsidP="001B7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9B" w:rsidP="00F56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49B" w:rsidP="00F56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749B" w:rsidP="00F56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0EE" w:rsidRPr="001B749B" w:rsidP="001B7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9B" w:rsidRPr="002D2AF8" w:rsidP="00F56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MEM21007 Service complex quartz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B749B" w:rsidP="00F56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E0F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CE25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0EE"/>
  </w:style>
  <w:style w:type="character" w:customStyle="1" w:styleId="Heading1Char">
    <w:name w:val="Heading 1 Char"/>
    <w:basedOn w:val="DefaultParagraphFont"/>
    <w:link w:val="Heading1"/>
    <w:rsid w:val="00F56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0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0EE"/>
    <w:rPr>
      <w:b/>
      <w:spacing w:val="0"/>
    </w:rPr>
  </w:style>
  <w:style w:type="paragraph" w:customStyle="1" w:styleId="SuperHeading">
    <w:name w:val="SuperHeading"/>
    <w:basedOn w:val="Normal"/>
    <w:rsid w:val="00F56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0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0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0EE"/>
    <w:rPr>
      <w:i/>
    </w:rPr>
  </w:style>
  <w:style w:type="paragraph" w:styleId="Caption">
    <w:name w:val="caption"/>
    <w:basedOn w:val="BodyText"/>
    <w:next w:val="Normal"/>
    <w:qFormat/>
    <w:rsid w:val="00F56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0EE"/>
  </w:style>
  <w:style w:type="paragraph" w:styleId="TableofFigures">
    <w:name w:val="table of figures"/>
    <w:basedOn w:val="Normal"/>
    <w:next w:val="Normal"/>
    <w:semiHidden/>
    <w:rsid w:val="00F56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0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0EE"/>
    <w:rPr>
      <w:rFonts w:ascii="Wingdings" w:hAnsi="Wingdings"/>
    </w:rPr>
  </w:style>
  <w:style w:type="paragraph" w:customStyle="1" w:styleId="TableHeading">
    <w:name w:val="Table Heading"/>
    <w:basedOn w:val="HeadingBase"/>
    <w:rsid w:val="00F56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0EE"/>
    <w:rPr>
      <w:color w:val="0033CC"/>
      <w:u w:val="none"/>
    </w:rPr>
  </w:style>
  <w:style w:type="paragraph" w:customStyle="1" w:styleId="BodyTextRight">
    <w:name w:val="Body Text Right"/>
    <w:basedOn w:val="BodyText"/>
    <w:rsid w:val="00F56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0EE"/>
    <w:rPr>
      <w:sz w:val="32"/>
    </w:rPr>
  </w:style>
  <w:style w:type="paragraph" w:customStyle="1" w:styleId="HeadingProcedure">
    <w:name w:val="Heading Procedure"/>
    <w:basedOn w:val="HeadingBase"/>
    <w:next w:val="Normal"/>
    <w:rsid w:val="00F56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0EE"/>
    <w:pPr>
      <w:spacing w:before="60" w:after="60"/>
    </w:pPr>
  </w:style>
  <w:style w:type="paragraph" w:styleId="ListContinue">
    <w:name w:val="List Continue"/>
    <w:basedOn w:val="List"/>
    <w:rsid w:val="00F560EE"/>
    <w:pPr>
      <w:ind w:firstLine="0"/>
    </w:pPr>
  </w:style>
  <w:style w:type="paragraph" w:customStyle="1" w:styleId="ListNote">
    <w:name w:val="List Note"/>
    <w:basedOn w:val="List"/>
    <w:rsid w:val="00F56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0EE"/>
    <w:rPr>
      <w:rFonts w:ascii="Courier New" w:hAnsi="Courier New"/>
    </w:rPr>
  </w:style>
  <w:style w:type="paragraph" w:customStyle="1" w:styleId="NoteBullet">
    <w:name w:val="Note Bullet"/>
    <w:basedOn w:val="Note"/>
    <w:rsid w:val="00F56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0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0EE"/>
    <w:rPr>
      <w:b/>
      <w:smallCaps/>
    </w:rPr>
  </w:style>
  <w:style w:type="paragraph" w:customStyle="1" w:styleId="TableListNumber">
    <w:name w:val="Table List Number"/>
    <w:basedOn w:val="ListNumber"/>
    <w:rsid w:val="00F56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0EE"/>
    <w:pPr>
      <w:numPr>
        <w:numId w:val="8"/>
      </w:numPr>
    </w:pPr>
  </w:style>
  <w:style w:type="paragraph" w:customStyle="1" w:styleId="ListAlpha2">
    <w:name w:val="List Alpha 2"/>
    <w:basedOn w:val="List2"/>
    <w:rsid w:val="00F560EE"/>
    <w:pPr>
      <w:numPr>
        <w:numId w:val="7"/>
      </w:numPr>
    </w:pPr>
  </w:style>
  <w:style w:type="paragraph" w:styleId="List2">
    <w:name w:val="List 2"/>
    <w:basedOn w:val="BodyText"/>
    <w:rsid w:val="00F56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0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0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0EE"/>
    <w:pPr>
      <w:numPr>
        <w:numId w:val="3"/>
      </w:numPr>
    </w:pPr>
  </w:style>
  <w:style w:type="paragraph" w:styleId="ListContinue2">
    <w:name w:val="List Continue 2"/>
    <w:basedOn w:val="List2"/>
    <w:rsid w:val="00F560EE"/>
    <w:pPr>
      <w:ind w:firstLine="0"/>
    </w:pPr>
  </w:style>
  <w:style w:type="paragraph" w:styleId="ListContinue3">
    <w:name w:val="List Continue 3"/>
    <w:basedOn w:val="List3"/>
    <w:rsid w:val="00F560EE"/>
    <w:pPr>
      <w:ind w:left="1021" w:firstLine="0"/>
    </w:pPr>
  </w:style>
  <w:style w:type="paragraph" w:styleId="ListContinue4">
    <w:name w:val="List Continue 4"/>
    <w:basedOn w:val="List4"/>
    <w:rsid w:val="00F560EE"/>
    <w:pPr>
      <w:ind w:firstLine="0"/>
    </w:pPr>
  </w:style>
  <w:style w:type="paragraph" w:styleId="ListContinue5">
    <w:name w:val="List Continue 5"/>
    <w:basedOn w:val="List5"/>
    <w:rsid w:val="00F560EE"/>
    <w:pPr>
      <w:ind w:firstLine="0"/>
    </w:pPr>
  </w:style>
  <w:style w:type="paragraph" w:styleId="ListNumber3">
    <w:name w:val="List Number 3"/>
    <w:basedOn w:val="List3"/>
    <w:rsid w:val="00F560EE"/>
    <w:pPr>
      <w:numPr>
        <w:numId w:val="4"/>
      </w:numPr>
    </w:pPr>
  </w:style>
  <w:style w:type="paragraph" w:styleId="ListNumber4">
    <w:name w:val="List Number 4"/>
    <w:basedOn w:val="List4"/>
    <w:rsid w:val="00F560EE"/>
    <w:pPr>
      <w:numPr>
        <w:numId w:val="5"/>
      </w:numPr>
    </w:pPr>
  </w:style>
  <w:style w:type="paragraph" w:styleId="ListNumber5">
    <w:name w:val="List Number 5"/>
    <w:basedOn w:val="List5"/>
    <w:rsid w:val="00F560EE"/>
    <w:pPr>
      <w:numPr>
        <w:numId w:val="6"/>
      </w:numPr>
    </w:pPr>
  </w:style>
  <w:style w:type="paragraph" w:styleId="BlockText">
    <w:name w:val="Block Text"/>
    <w:basedOn w:val="Normal"/>
    <w:rsid w:val="00F56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0EE"/>
    <w:rPr>
      <w:sz w:val="16"/>
      <w:vertAlign w:val="superscript"/>
    </w:rPr>
  </w:style>
  <w:style w:type="character" w:customStyle="1" w:styleId="Symbols">
    <w:name w:val="Symbols"/>
    <w:basedOn w:val="DefaultParagraphFont"/>
    <w:rsid w:val="00F560EE"/>
    <w:rPr>
      <w:rFonts w:ascii="Symbol" w:hAnsi="Symbol"/>
    </w:rPr>
  </w:style>
  <w:style w:type="character" w:customStyle="1" w:styleId="MenuOptions">
    <w:name w:val="Menu Options"/>
    <w:basedOn w:val="DefaultParagraphFont"/>
    <w:rsid w:val="00F56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0EE"/>
    <w:rPr>
      <w:b/>
    </w:rPr>
  </w:style>
  <w:style w:type="character" w:customStyle="1" w:styleId="Underlined">
    <w:name w:val="Underlined"/>
    <w:basedOn w:val="DefaultParagraphFont"/>
    <w:rsid w:val="00F560EE"/>
    <w:rPr>
      <w:u w:val="single"/>
    </w:rPr>
  </w:style>
  <w:style w:type="paragraph" w:customStyle="1" w:styleId="TableBodyTextRight">
    <w:name w:val="Table Body Text Right"/>
    <w:basedOn w:val="TableBodyText"/>
    <w:rsid w:val="00F56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0EE"/>
    <w:rPr>
      <w:sz w:val="18"/>
    </w:rPr>
  </w:style>
  <w:style w:type="paragraph" w:customStyle="1" w:styleId="BodySmallRight">
    <w:name w:val="Body Small Right"/>
    <w:basedOn w:val="BodyTextRight"/>
    <w:rsid w:val="00F560EE"/>
    <w:rPr>
      <w:sz w:val="18"/>
      <w:szCs w:val="18"/>
    </w:rPr>
  </w:style>
  <w:style w:type="paragraph" w:customStyle="1" w:styleId="MarginEdition">
    <w:name w:val="Margin Edition"/>
    <w:basedOn w:val="MarginNote"/>
    <w:rsid w:val="00F56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0EE"/>
    <w:rPr>
      <w:sz w:val="2"/>
      <w:szCs w:val="2"/>
    </w:rPr>
  </w:style>
  <w:style w:type="character" w:customStyle="1" w:styleId="Small">
    <w:name w:val="Small"/>
    <w:basedOn w:val="DefaultParagraphFont"/>
    <w:rsid w:val="00F560EE"/>
    <w:rPr>
      <w:sz w:val="16"/>
    </w:rPr>
  </w:style>
  <w:style w:type="paragraph" w:customStyle="1" w:styleId="WideTable">
    <w:name w:val="Wide Table"/>
    <w:basedOn w:val="Normal"/>
    <w:rsid w:val="00F56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0EE"/>
  </w:style>
  <w:style w:type="paragraph" w:styleId="Quote">
    <w:name w:val="Quote"/>
    <w:basedOn w:val="Heading1"/>
    <w:link w:val="QuoteChar"/>
    <w:qFormat/>
    <w:rsid w:val="00F56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0EE"/>
    <w:pPr>
      <w:pageBreakBefore/>
    </w:pPr>
  </w:style>
  <w:style w:type="paragraph" w:customStyle="1" w:styleId="Border">
    <w:name w:val="Border"/>
    <w:basedOn w:val="Normal"/>
    <w:qFormat/>
    <w:rsid w:val="00F56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0EE"/>
    <w:rPr>
      <w:u w:val="single"/>
    </w:rPr>
  </w:style>
  <w:style w:type="character" w:customStyle="1" w:styleId="BoldandItalics">
    <w:name w:val="Bold and Italics"/>
    <w:qFormat/>
    <w:rsid w:val="00F560EE"/>
    <w:rPr>
      <w:b/>
      <w:i/>
      <w:u w:val="none"/>
    </w:rPr>
  </w:style>
  <w:style w:type="paragraph" w:styleId="BalloonText">
    <w:name w:val="Balloon Text"/>
    <w:basedOn w:val="Normal"/>
    <w:link w:val="BalloonTextChar"/>
    <w:rsid w:val="00F56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0EE"/>
    <w:pPr>
      <w:spacing w:before="0" w:after="0"/>
    </w:pPr>
  </w:style>
  <w:style w:type="paragraph" w:customStyle="1" w:styleId="BodyTextBold">
    <w:name w:val="Body Text Bold"/>
    <w:basedOn w:val="BodyText"/>
    <w:qFormat/>
    <w:rsid w:val="00F560EE"/>
    <w:rPr>
      <w:b/>
    </w:rPr>
  </w:style>
  <w:style w:type="character" w:styleId="Hyperlink">
    <w:name w:val="Hyperlink"/>
    <w:basedOn w:val="DefaultParagraphFont"/>
    <w:uiPriority w:val="99"/>
    <w:unhideWhenUsed/>
    <w:rsid w:val="001B7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4835</Characters>
  <Application>Microsoft Office Word</Application>
  <DocSecurity>0</DocSecurity>
  <Lines>302</Lines>
  <Paragraphs>169</Paragraphs>
  <ScaleCrop>false</ScaleCrop>
  <Company>Author-it Software Corporation Ltd.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MEM21007 Service complex quartz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