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FEC" w:rsidP="00507FEC">
      <w:pPr>
        <w:pStyle w:val="Title"/>
      </w:pPr>
      <w:r>
        <w:fldChar w:fldCharType="begin"/>
      </w:r>
      <w:r>
        <w:instrText xml:space="preserve"> TITLE   \* MERGEFORMAT </w:instrText>
      </w:r>
      <w:r>
        <w:fldChar w:fldCharType="separate"/>
      </w:r>
      <w:r>
        <w:t>MEM21007 Service complex quartz watches</w:t>
      </w:r>
      <w:r>
        <w:fldChar w:fldCharType="end"/>
      </w:r>
    </w:p>
    <w:p w:rsidR="00507FEC" w:rsidP="00507FEC">
      <w:pPr>
        <w:pStyle w:val="Version"/>
        <w:sectPr w:rsidSect="00E66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7B4" w:rsidP="00E667B4">
      <w:pPr>
        <w:pStyle w:val="SuperHeading"/>
      </w:pPr>
      <w:r w:rsidRPr="00E667B4">
        <w:t>MEM21007 Service complex quartz watches</w:t>
      </w:r>
    </w:p>
    <w:p w:rsidR="00000000" w:rsidRPr="00E667B4" w:rsidP="00E667B4">
      <w:pPr>
        <w:pStyle w:val="Heading1"/>
      </w:pPr>
      <w:bookmarkStart w:id="1" w:name="O_951236"/>
      <w:bookmarkEnd w:id="1"/>
      <w:r w:rsidRPr="00E667B4">
        <w:t>Modification History</w:t>
      </w:r>
    </w:p>
    <w:p w:rsidR="00000000" w:rsidRPr="00E667B4" w:rsidP="00507FEC">
      <w:pPr>
        <w:pStyle w:val="BodyText"/>
      </w:pPr>
      <w:r w:rsidRPr="00E667B4">
        <w:t xml:space="preserve">Release 1. Supersedes and is equivalent to MEM21007A Service complex quartz watches </w:t>
      </w:r>
    </w:p>
    <w:p w:rsidR="00000000" w:rsidRPr="00E667B4" w:rsidP="00E667B4">
      <w:pPr>
        <w:pStyle w:val="Heading1"/>
      </w:pPr>
      <w:bookmarkStart w:id="2" w:name="O_951244"/>
      <w:bookmarkEnd w:id="2"/>
      <w:r w:rsidRPr="00E667B4">
        <w:t>Application</w:t>
      </w:r>
    </w:p>
    <w:p w:rsidR="00000000" w:rsidRPr="00E667B4" w:rsidP="00507FEC">
      <w:pPr>
        <w:pStyle w:val="BodyText"/>
      </w:pPr>
      <w:r w:rsidRPr="00E667B4">
        <w:t>This unit of competency defines the skills and knowledge required to service complex quartz analog, digital and duo displ</w:t>
      </w:r>
      <w:r w:rsidRPr="00E667B4">
        <w:t>ay watches, including chronographs and perpetual calendars with multiple step motors and ultrasonic step motor calendar driving systems.</w:t>
      </w:r>
    </w:p>
    <w:p w:rsidR="00000000" w:rsidRPr="00E667B4" w:rsidP="00507FEC">
      <w:pPr>
        <w:pStyle w:val="BodyText"/>
      </w:pPr>
      <w:r w:rsidRPr="00E667B4">
        <w:t>No licensing, legislative or certification requirements apply to this unit at the time of publication.</w:t>
      </w:r>
    </w:p>
    <w:p w:rsidR="00000000" w:rsidRPr="00E667B4" w:rsidP="00507FEC">
      <w:pPr>
        <w:pStyle w:val="Heading3"/>
      </w:pPr>
      <w:r w:rsidRPr="00E667B4">
        <w:rPr>
          <w:rStyle w:val="SpecialBold"/>
        </w:rPr>
        <w:t>Band:  A</w:t>
      </w:r>
    </w:p>
    <w:p w:rsidR="00000000" w:rsidRPr="00E667B4" w:rsidP="00507FEC">
      <w:pPr>
        <w:pStyle w:val="Heading3"/>
      </w:pPr>
      <w:r w:rsidRPr="00E667B4">
        <w:rPr>
          <w:rStyle w:val="SpecialBold"/>
        </w:rPr>
        <w:t xml:space="preserve">Unit </w:t>
      </w:r>
      <w:r w:rsidRPr="00E667B4">
        <w:rPr>
          <w:rStyle w:val="SpecialBold"/>
        </w:rPr>
        <w:t xml:space="preserve">weight:  4 </w:t>
      </w:r>
    </w:p>
    <w:p w:rsidR="00000000" w:rsidRPr="00E667B4" w:rsidP="00E667B4">
      <w:pPr>
        <w:pStyle w:val="Heading1"/>
      </w:pPr>
      <w:bookmarkStart w:id="3" w:name="O_951243"/>
      <w:bookmarkEnd w:id="3"/>
      <w:r w:rsidRPr="00E667B4">
        <w:t>Pre-requisite Unit</w:t>
      </w:r>
    </w:p>
    <w:tbl>
      <w:tblPr>
        <w:tblW w:w="0" w:type="auto"/>
        <w:tblLayout w:type="fixed"/>
        <w:tblCellMar>
          <w:left w:w="62" w:type="dxa"/>
          <w:right w:w="62" w:type="dxa"/>
        </w:tblCellMar>
        <w:tblLook w:val="0000"/>
      </w:tblPr>
      <w:tblGrid>
        <w:gridCol w:w="2186"/>
        <w:gridCol w:w="6886"/>
      </w:tblGrid>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MEM13015</w:t>
            </w:r>
          </w:p>
        </w:tc>
        <w:tc>
          <w:tcPr>
            <w:tcW w:w="68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Work safely and effectively in manufacturing and engineering</w:t>
            </w:r>
          </w:p>
        </w:tc>
      </w:tr>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MEM16006</w:t>
            </w:r>
          </w:p>
        </w:tc>
        <w:tc>
          <w:tcPr>
            <w:tcW w:w="68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Organise and communicate information</w:t>
            </w:r>
          </w:p>
        </w:tc>
      </w:tr>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MEM21001</w:t>
            </w:r>
          </w:p>
        </w:tc>
        <w:tc>
          <w:tcPr>
            <w:tcW w:w="68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Replace watch batteries, capacitors and bands</w:t>
            </w:r>
          </w:p>
        </w:tc>
      </w:tr>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MEM21002</w:t>
            </w:r>
          </w:p>
        </w:tc>
        <w:tc>
          <w:tcPr>
            <w:tcW w:w="68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Perform watch movement exchange</w:t>
            </w:r>
          </w:p>
        </w:tc>
      </w:tr>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MEM21005</w:t>
            </w:r>
          </w:p>
        </w:tc>
        <w:tc>
          <w:tcPr>
            <w:tcW w:w="68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Diagnose faults in quartz watches</w:t>
            </w:r>
          </w:p>
        </w:tc>
      </w:tr>
      <w:tr w:rsidTr="00E66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MEM21006</w:t>
            </w:r>
          </w:p>
        </w:tc>
        <w:tc>
          <w:tcPr>
            <w:tcW w:w="6886"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Service quartz watches</w:t>
            </w:r>
          </w:p>
        </w:tc>
      </w:tr>
    </w:tbl>
    <w:p w:rsidR="00000000" w:rsidRPr="00E667B4" w:rsidP="00E667B4">
      <w:pPr>
        <w:pStyle w:val="BodyText"/>
      </w:pPr>
    </w:p>
    <w:p w:rsidR="00000000" w:rsidRPr="00E667B4" w:rsidP="00E667B4">
      <w:pPr>
        <w:pStyle w:val="AllowPageBreak"/>
      </w:pPr>
    </w:p>
    <w:p w:rsidR="00000000" w:rsidRPr="00E667B4" w:rsidP="00E667B4">
      <w:pPr>
        <w:pStyle w:val="Heading1"/>
      </w:pPr>
      <w:bookmarkStart w:id="4" w:name="O_951242"/>
      <w:bookmarkEnd w:id="4"/>
      <w:r w:rsidRPr="00E667B4">
        <w:t>Competency Field</w:t>
      </w:r>
    </w:p>
    <w:p w:rsidR="00000000" w:rsidRPr="00E667B4" w:rsidP="00507FEC">
      <w:pPr>
        <w:pStyle w:val="BodyText"/>
      </w:pPr>
      <w:r w:rsidRPr="00E667B4">
        <w:t>Horology</w:t>
      </w:r>
    </w:p>
    <w:p w:rsidR="00000000" w:rsidRPr="00E667B4" w:rsidP="00E667B4">
      <w:pPr>
        <w:pStyle w:val="Heading1"/>
      </w:pPr>
      <w:bookmarkStart w:id="5" w:name="O_951240"/>
      <w:bookmarkEnd w:id="5"/>
      <w:r w:rsidRPr="00E667B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667B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Performa</w:t>
            </w:r>
            <w:r w:rsidRPr="00E667B4">
              <w:t>nce criteria describe the performance needed to demonstrate achievement of the element.</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1</w:t>
            </w:r>
          </w:p>
        </w:tc>
        <w:tc>
          <w:tcPr>
            <w:tcW w:w="1986"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Determine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1.1</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Follow standard operating procedures (SOPs)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1.2</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Comply with work health and safety (WHS) requirements at all times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1.3</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Identify watch functions and features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1.4</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Prepare written quotation and inform customer of watch condition and performance concerns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1.5</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Outline recommended service procedures to be undertaken to remedy identified faults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1.6</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Verify and agree on servicing requirements with customer</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1.7</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Prepare watch for handover</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1.8</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Record and document repair process</w:t>
            </w:r>
          </w:p>
        </w:tc>
      </w:tr>
      <w:tr w:rsidTr="00E667B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2</w:t>
            </w:r>
          </w:p>
        </w:tc>
        <w:tc>
          <w:tcPr>
            <w:tcW w:w="1986"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Disassemble complex quartz watch cases, movements and components</w:t>
            </w: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2.1</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Establish appropriate working environment</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2.2</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Select and use appropriate personal protective equipment (PPE) in accordance with SOPs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2.3</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Select and use appropriate workshop tools and equipment</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2.4</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Open and close watch cases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2.5</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Remove case components and movement without damaging or marking</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2.6</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Verify gasket condition and replace, as required</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2.7</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Clean cases and bands, as required</w:t>
            </w:r>
          </w:p>
        </w:tc>
      </w:tr>
      <w:tr w:rsidTr="00E667B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3</w:t>
            </w:r>
          </w:p>
        </w:tc>
        <w:tc>
          <w:tcPr>
            <w:tcW w:w="1986"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Service complex quartz watch case and movement components</w:t>
            </w: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3.1</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 xml:space="preserve">Inspect condition of movement and case components </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3.2</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Confirm servicing requirements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3.3</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Replace faulty or worn component parts</w:t>
            </w:r>
          </w:p>
        </w:tc>
      </w:tr>
      <w:tr w:rsidTr="00E667B4">
        <w:tblPrEx>
          <w:tblW w:w="0" w:type="auto"/>
          <w:tblLayout w:type="fixed"/>
          <w:tblCellMar>
            <w:left w:w="62" w:type="dxa"/>
            <w:right w:w="62" w:type="dxa"/>
          </w:tblCellMar>
          <w:tblLook w:val="0000"/>
        </w:tblPrEx>
        <w:trPr>
          <w:trHeight w:val="24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3.4</w:t>
            </w:r>
          </w:p>
        </w:tc>
        <w:tc>
          <w:tcPr>
            <w:tcW w:w="5678"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Clean and inspect watch case and components for cleanliness and rectify imperfections and faults</w:t>
            </w:r>
          </w:p>
        </w:tc>
      </w:tr>
      <w:tr w:rsidTr="00E667B4">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667B4">
            <w:pPr>
              <w:pStyle w:val="BodyText"/>
              <w:rPr>
                <w:lang w:val="en-NZ"/>
              </w:rPr>
            </w:pP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4</w:t>
            </w:r>
          </w:p>
        </w:tc>
        <w:tc>
          <w:tcPr>
            <w:tcW w:w="1986" w:type="dxa"/>
            <w:vMerge w:val="restart"/>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Reassemble and test complex quartz watches</w:t>
            </w: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4.1</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 xml:space="preserve">Reassemble multiple step motors, perpetual </w:t>
            </w:r>
            <w:r w:rsidRPr="00E667B4">
              <w:t>calendar mechanisms, watch movement and case components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4.2</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Perform work according to manufacturer guidelines and specifications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4.3</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Confirm correct assembly and operation of gear train and perpetual calendar driving system</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4.4</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Use correct types and amounts of lubricant</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4.5</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Use specialist service tools, jigs and testing equipment</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4.6</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Verify watch functioning of calendar and chronograph mechanisms</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4.7</w:t>
            </w:r>
          </w:p>
        </w:tc>
        <w:tc>
          <w:tcPr>
            <w:tcW w:w="5678"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Verify and adjust watch performance and rate testing</w:t>
            </w:r>
          </w:p>
        </w:tc>
      </w:tr>
      <w:tr w:rsidTr="00E66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4.8</w:t>
            </w:r>
          </w:p>
        </w:tc>
        <w:tc>
          <w:tcPr>
            <w:tcW w:w="5678" w:type="dxa"/>
            <w:tcBorders>
              <w:top w:val="nil"/>
              <w:left w:val="nil"/>
              <w:bottom w:val="nil"/>
              <w:right w:val="nil"/>
            </w:tcBorders>
            <w:tcMar>
              <w:top w:w="0" w:type="dxa"/>
              <w:left w:w="62" w:type="dxa"/>
              <w:bottom w:w="0" w:type="dxa"/>
              <w:right w:w="62" w:type="dxa"/>
            </w:tcMar>
          </w:tcPr>
          <w:p w:rsidR="00000000" w:rsidRPr="00E667B4" w:rsidP="00E667B4">
            <w:pPr>
              <w:pStyle w:val="BodyText"/>
            </w:pPr>
            <w:r w:rsidRPr="00E667B4">
              <w:t>Perform resetting and zeroing and synchronising of chronograph and perpetual calendar displays</w:t>
            </w:r>
          </w:p>
        </w:tc>
      </w:tr>
    </w:tbl>
    <w:p w:rsidR="00507FEC" w:rsidP="00E667B4">
      <w:pPr>
        <w:pStyle w:val="BodyText"/>
      </w:pPr>
    </w:p>
    <w:p w:rsidR="00507FEC" w:rsidP="00E667B4">
      <w:pPr>
        <w:pStyle w:val="BodyText"/>
      </w:pPr>
    </w:p>
    <w:p w:rsidR="00000000" w:rsidRPr="00E667B4" w:rsidP="00E667B4">
      <w:pPr>
        <w:pStyle w:val="Heading1"/>
      </w:pPr>
      <w:bookmarkStart w:id="6" w:name="O_951239"/>
      <w:bookmarkEnd w:id="6"/>
      <w:r w:rsidRPr="00E667B4">
        <w:t>Foundation Skills</w:t>
      </w:r>
    </w:p>
    <w:p w:rsidR="00000000" w:rsidRPr="00E667B4" w:rsidP="00507FEC">
      <w:pPr>
        <w:pStyle w:val="BodyText"/>
      </w:pPr>
      <w:r w:rsidRPr="00E667B4">
        <w:t>This section describes those required skills (reading, writing, oral communication and numeracy) that are essential to work</w:t>
      </w:r>
      <w:r w:rsidRPr="00E667B4">
        <w:t xml:space="preserve">place performance in this unit of competency.  </w:t>
      </w:r>
    </w:p>
    <w:p w:rsidR="00000000" w:rsidRPr="00E667B4" w:rsidP="00507FEC">
      <w:pPr>
        <w:pStyle w:val="BodyText"/>
      </w:pPr>
      <w:r w:rsidRPr="00E667B4">
        <w:t>Foundation skills essential to performance are explicit in the performance criteria of this unit of competency.</w:t>
      </w:r>
    </w:p>
    <w:p w:rsidR="00000000" w:rsidRPr="00E667B4" w:rsidP="00E667B4">
      <w:pPr>
        <w:pStyle w:val="Heading1"/>
      </w:pPr>
      <w:bookmarkStart w:id="7" w:name="O_951238"/>
      <w:bookmarkEnd w:id="7"/>
      <w:r w:rsidRPr="00E667B4">
        <w:t>Range of Conditions</w:t>
      </w:r>
    </w:p>
    <w:tbl>
      <w:tblPr>
        <w:tblW w:w="0" w:type="auto"/>
        <w:tblLayout w:type="fixed"/>
        <w:tblCellMar>
          <w:left w:w="62" w:type="dxa"/>
          <w:right w:w="62" w:type="dxa"/>
        </w:tblCellMar>
        <w:tblLook w:val="0000"/>
      </w:tblPr>
      <w:tblGrid>
        <w:gridCol w:w="2641"/>
        <w:gridCol w:w="6501"/>
      </w:tblGrid>
      <w:tr w:rsidTr="00E667B4">
        <w:tblPrEx>
          <w:tblW w:w="0" w:type="auto"/>
          <w:tblLayout w:type="fixed"/>
          <w:tblCellMar>
            <w:left w:w="62" w:type="dxa"/>
            <w:right w:w="62" w:type="dxa"/>
          </w:tblCellMar>
          <w:tblLook w:val="0000"/>
        </w:tblPrEx>
        <w:tc>
          <w:tcPr>
            <w:tcW w:w="9142" w:type="dxa"/>
            <w:gridSpan w:val="2"/>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t>This field allows for different work environments and cond</w:t>
            </w:r>
            <w:r w:rsidRPr="00E667B4">
              <w:t>itions that may affect performance. Essential operating conditions that may be present (depending on the work situation, needs of the candidate, accessibility of the item, and local industry and regional contexts) are included.</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Complex quartz watch functions and features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chronograph</w:t>
            </w:r>
          </w:p>
          <w:p w:rsidR="00000000" w:rsidRPr="00E667B4" w:rsidP="00E667B4">
            <w:pPr>
              <w:pStyle w:val="ListBullet"/>
            </w:pPr>
            <w:r w:rsidRPr="00E667B4">
              <w:t>perpetual calendar</w:t>
            </w:r>
          </w:p>
          <w:p w:rsidR="00000000" w:rsidRPr="00E667B4" w:rsidP="00E667B4">
            <w:pPr>
              <w:pStyle w:val="ListBullet"/>
            </w:pPr>
            <w:r w:rsidRPr="00E667B4">
              <w:t>repeater</w:t>
            </w:r>
          </w:p>
          <w:p w:rsidR="00000000" w:rsidRPr="00E667B4" w:rsidP="00E667B4">
            <w:pPr>
              <w:pStyle w:val="ListBullet"/>
            </w:pPr>
            <w:r w:rsidRPr="00E667B4">
              <w:t>perpetual calendar with multiple step motors</w:t>
            </w:r>
          </w:p>
          <w:p w:rsidR="00000000" w:rsidP="00E667B4">
            <w:pPr>
              <w:pStyle w:val="ListBullet"/>
              <w:rPr>
                <w:lang w:val="en-NZ"/>
              </w:rPr>
            </w:pPr>
            <w:r w:rsidRPr="00E667B4">
              <w:t>ultrasonic step motor calendar driving systems</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Record and document repair process i</w:t>
            </w:r>
            <w:r w:rsidRPr="00E667B4">
              <w:rPr>
                <w:rStyle w:val="SpecialBold"/>
              </w:rPr>
              <w:t>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 xml:space="preserve">customer written quotation detailing faults </w:t>
            </w:r>
          </w:p>
          <w:p w:rsidR="00000000" w:rsidRPr="00E667B4" w:rsidP="00E667B4">
            <w:pPr>
              <w:pStyle w:val="ListBullet"/>
            </w:pPr>
            <w:r w:rsidRPr="00E667B4">
              <w:t xml:space="preserve">recommendations of most appropriate service procedure </w:t>
            </w:r>
          </w:p>
          <w:p w:rsidR="00000000" w:rsidRPr="00E667B4" w:rsidP="00E667B4">
            <w:pPr>
              <w:pStyle w:val="ListBullet"/>
            </w:pPr>
            <w:r w:rsidRPr="00E667B4">
              <w:t>cost estimation of replacement part</w:t>
            </w:r>
          </w:p>
          <w:p w:rsidR="00000000" w:rsidP="00E667B4">
            <w:pPr>
              <w:pStyle w:val="ListBullet"/>
              <w:rPr>
                <w:lang w:val="en-NZ"/>
              </w:rPr>
            </w:pPr>
            <w:r w:rsidRPr="00E667B4">
              <w:t>time spent on procedure</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Appropriate working environment includes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suitable watchmakers</w:t>
            </w:r>
            <w:r>
              <w:t>’</w:t>
            </w:r>
            <w:r w:rsidRPr="00E667B4">
              <w:t xml:space="preserve"> bench </w:t>
            </w:r>
          </w:p>
          <w:p w:rsidR="00000000" w:rsidRPr="00E667B4" w:rsidP="00E667B4">
            <w:pPr>
              <w:pStyle w:val="ListBullet"/>
            </w:pPr>
            <w:r w:rsidRPr="00E667B4">
              <w:t>clean and orderly work area (precautions taken to minimise dust)</w:t>
            </w:r>
          </w:p>
          <w:p w:rsidR="00000000" w:rsidRPr="00E667B4" w:rsidP="00E667B4">
            <w:pPr>
              <w:pStyle w:val="ListBullet"/>
            </w:pPr>
            <w:r w:rsidRPr="00E667B4">
              <w:t>suitable lighting and adequate ventilation</w:t>
            </w:r>
          </w:p>
          <w:p w:rsidR="00000000" w:rsidP="00E667B4">
            <w:pPr>
              <w:pStyle w:val="ListBullet"/>
              <w:rPr>
                <w:lang w:val="en-NZ"/>
              </w:rPr>
            </w:pPr>
            <w:r w:rsidRPr="00E667B4">
              <w:t xml:space="preserve">ergonomic chair with adjustable height </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Workshop tools and eq</w:t>
            </w:r>
            <w:r w:rsidRPr="00E667B4">
              <w:rPr>
                <w:rStyle w:val="SpecialBold"/>
              </w:rPr>
              <w:t>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timing machine</w:t>
            </w:r>
          </w:p>
          <w:p w:rsidR="00000000" w:rsidRPr="00E667B4" w:rsidP="00E667B4">
            <w:pPr>
              <w:pStyle w:val="ListBullet"/>
            </w:pPr>
            <w:r w:rsidRPr="00E667B4">
              <w:t>multimeter</w:t>
            </w:r>
          </w:p>
          <w:p w:rsidR="00000000" w:rsidRPr="00E667B4" w:rsidP="00E667B4">
            <w:pPr>
              <w:pStyle w:val="ListBullet"/>
            </w:pPr>
            <w:r w:rsidRPr="00E667B4">
              <w:t>pulse generator</w:t>
            </w:r>
          </w:p>
          <w:p w:rsidR="00000000" w:rsidRPr="00E667B4" w:rsidP="00E667B4">
            <w:pPr>
              <w:pStyle w:val="ListBullet"/>
            </w:pPr>
            <w:r w:rsidRPr="00E667B4">
              <w:t>watch repair and construction hand tools</w:t>
            </w:r>
          </w:p>
          <w:p w:rsidR="00000000" w:rsidRPr="00E667B4" w:rsidP="00E667B4">
            <w:pPr>
              <w:pStyle w:val="ListBullet"/>
            </w:pPr>
            <w:r w:rsidRPr="00E667B4">
              <w:t>case opening and closing tools</w:t>
            </w:r>
          </w:p>
          <w:p w:rsidR="00000000" w:rsidRPr="00E667B4" w:rsidP="00E667B4">
            <w:pPr>
              <w:pStyle w:val="ListBullet"/>
            </w:pPr>
            <w:r w:rsidRPr="00E667B4">
              <w:t>cleaning media</w:t>
            </w:r>
          </w:p>
          <w:p w:rsidR="00000000" w:rsidRPr="00E667B4" w:rsidP="00E667B4">
            <w:pPr>
              <w:pStyle w:val="ListBullet"/>
            </w:pPr>
            <w:r w:rsidRPr="00E667B4">
              <w:t xml:space="preserve">cleaning machines </w:t>
            </w:r>
          </w:p>
          <w:p w:rsidR="00000000" w:rsidRPr="00E667B4" w:rsidP="00E667B4">
            <w:pPr>
              <w:pStyle w:val="ListBullet"/>
            </w:pPr>
            <w:r w:rsidRPr="00E667B4">
              <w:t>lubricants</w:t>
            </w:r>
          </w:p>
          <w:p w:rsidR="00000000" w:rsidP="00E667B4">
            <w:pPr>
              <w:pStyle w:val="ListBullet"/>
              <w:rPr>
                <w:lang w:val="en-NZ"/>
              </w:rPr>
            </w:pPr>
            <w:r w:rsidRPr="00E667B4">
              <w:t>PPE</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Case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watch glasses</w:t>
            </w:r>
          </w:p>
          <w:p w:rsidR="00000000" w:rsidRPr="00E667B4" w:rsidP="00E667B4">
            <w:pPr>
              <w:pStyle w:val="ListBullet"/>
            </w:pPr>
            <w:r w:rsidRPr="00E667B4">
              <w:t>case back</w:t>
            </w:r>
          </w:p>
          <w:p w:rsidR="00000000" w:rsidRPr="00E667B4" w:rsidP="00E667B4">
            <w:pPr>
              <w:pStyle w:val="ListBullet"/>
            </w:pPr>
            <w:r w:rsidRPr="00E667B4">
              <w:t xml:space="preserve">bezel </w:t>
            </w:r>
          </w:p>
          <w:p w:rsidR="00000000" w:rsidRPr="00E667B4" w:rsidP="00E667B4">
            <w:pPr>
              <w:pStyle w:val="ListBullet"/>
            </w:pPr>
            <w:r w:rsidRPr="00E667B4">
              <w:t xml:space="preserve">crown </w:t>
            </w:r>
          </w:p>
          <w:p w:rsidR="00000000" w:rsidRPr="00E667B4" w:rsidP="00E667B4">
            <w:pPr>
              <w:pStyle w:val="ListBullet"/>
            </w:pPr>
            <w:r w:rsidRPr="00E667B4">
              <w:t>pendant</w:t>
            </w:r>
          </w:p>
          <w:p w:rsidR="00000000" w:rsidRPr="00E667B4" w:rsidP="00E667B4">
            <w:pPr>
              <w:pStyle w:val="ListBullet"/>
            </w:pPr>
            <w:r w:rsidRPr="00E667B4">
              <w:t>pushbuttons (arbors and circlips)</w:t>
            </w:r>
          </w:p>
          <w:p w:rsidR="00000000" w:rsidP="00E667B4">
            <w:pPr>
              <w:pStyle w:val="ListBullet"/>
              <w:rPr>
                <w:lang w:val="en-NZ"/>
              </w:rPr>
            </w:pPr>
            <w:r w:rsidRPr="00E667B4">
              <w:t>gaskets</w:t>
            </w:r>
          </w:p>
        </w:tc>
      </w:tr>
      <w:tr w:rsidTr="00E66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667B4">
            <w:pPr>
              <w:pStyle w:val="BodyText"/>
              <w:rPr>
                <w:lang w:val="en-NZ"/>
              </w:rPr>
            </w:pPr>
            <w:r w:rsidRPr="00E667B4">
              <w:rPr>
                <w:rStyle w:val="SpecialBold"/>
              </w:rPr>
              <w:t>Watch performance/rate testing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667B4" w:rsidP="00E667B4">
            <w:pPr>
              <w:pStyle w:val="ListBullet"/>
            </w:pPr>
            <w:r w:rsidRPr="00E667B4">
              <w:t>current consumption (to manufacture specifications)</w:t>
            </w:r>
          </w:p>
          <w:p w:rsidR="00000000" w:rsidRPr="00E667B4" w:rsidP="00E667B4">
            <w:pPr>
              <w:pStyle w:val="ListBullet"/>
            </w:pPr>
            <w:r w:rsidRPr="00E667B4">
              <w:t>pulse generation</w:t>
            </w:r>
          </w:p>
          <w:p w:rsidR="00000000" w:rsidRPr="00E667B4" w:rsidP="00E667B4">
            <w:pPr>
              <w:pStyle w:val="ListBullet"/>
            </w:pPr>
            <w:r w:rsidRPr="00E667B4">
              <w:t>lower working limit test</w:t>
            </w:r>
          </w:p>
          <w:p w:rsidR="00000000" w:rsidRPr="00E667B4" w:rsidP="00E667B4">
            <w:pPr>
              <w:pStyle w:val="ListBullet"/>
            </w:pPr>
            <w:r w:rsidRPr="00E667B4">
              <w:t>gear train freedom</w:t>
            </w:r>
          </w:p>
          <w:p w:rsidR="00000000" w:rsidRPr="00E667B4" w:rsidP="00E667B4">
            <w:pPr>
              <w:pStyle w:val="ListBullet"/>
            </w:pPr>
            <w:r w:rsidRPr="00E667B4">
              <w:t>types of quartz regulating systems (capacitive, inhibition and thermo-compensation)</w:t>
            </w:r>
          </w:p>
          <w:p w:rsidR="00000000" w:rsidRPr="00E667B4" w:rsidP="00E667B4">
            <w:pPr>
              <w:pStyle w:val="ListBullet"/>
            </w:pPr>
            <w:r w:rsidRPr="00E667B4">
              <w:t xml:space="preserve">rate adjustment for various types of quartz watch (+0.25 - </w:t>
            </w:r>
            <w:r w:rsidRPr="00E667B4">
              <w:t>0.3 seconds/day)</w:t>
            </w:r>
          </w:p>
        </w:tc>
      </w:tr>
    </w:tbl>
    <w:p w:rsidR="00000000" w:rsidRPr="00E667B4" w:rsidP="00E667B4">
      <w:pPr>
        <w:pStyle w:val="BodyText"/>
      </w:pPr>
    </w:p>
    <w:p w:rsidR="00000000" w:rsidRPr="00E667B4" w:rsidP="00E667B4">
      <w:pPr>
        <w:pStyle w:val="AllowPageBreak"/>
      </w:pPr>
    </w:p>
    <w:p w:rsidR="00000000" w:rsidRPr="00E667B4" w:rsidP="00E667B4">
      <w:pPr>
        <w:pStyle w:val="Heading1"/>
      </w:pPr>
      <w:bookmarkStart w:id="8" w:name="O_951237"/>
      <w:bookmarkEnd w:id="8"/>
      <w:r w:rsidRPr="00E667B4">
        <w:t>Unit Mapping Information</w:t>
      </w:r>
    </w:p>
    <w:p w:rsidR="00000000" w:rsidRPr="00E667B4" w:rsidP="00507FEC">
      <w:pPr>
        <w:pStyle w:val="BodyText"/>
      </w:pPr>
      <w:r w:rsidRPr="00E667B4">
        <w:t xml:space="preserve">Release 1. Supersedes and is equivalent to MEM21007A Service complex quartz watches </w:t>
      </w:r>
    </w:p>
    <w:p w:rsidR="00000000" w:rsidRPr="00E667B4" w:rsidP="00E667B4">
      <w:pPr>
        <w:pStyle w:val="Heading1"/>
      </w:pPr>
      <w:bookmarkStart w:id="9" w:name="O_951230"/>
      <w:bookmarkEnd w:id="9"/>
      <w:r w:rsidRPr="00E667B4">
        <w:t>Links</w:t>
      </w:r>
    </w:p>
    <w:p w:rsidR="00000000" w:rsidRPr="00E667B4" w:rsidP="00507FEC">
      <w:pPr>
        <w:pStyle w:val="BodyText"/>
      </w:pPr>
      <w:r w:rsidRPr="00E667B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055EE">
        <w:rPr>
          <w:rStyle w:val="Hyperlink"/>
        </w:rPr>
        <w:t>https://vetnet.gov.au/Pages/TrainingDocs.aspx?q=b7050d37-5fd0-4740-8f7d-3b7a49c10bb2</w:t>
      </w:r>
      <w:r>
        <w:fldChar w:fldCharType="end"/>
      </w:r>
    </w:p>
    <w:p w:rsidR="00000000" w:rsidRPr="00E667B4" w:rsidP="00507FEC">
      <w:pPr>
        <w:pStyle w:val="BodyText"/>
        <w:sectPr w:rsidSect="00E667B4">
          <w:headerReference w:type="default" r:id="rId10"/>
          <w:footerReference w:type="default" r:id="rId11"/>
          <w:pgSz w:w="11908" w:h="16833"/>
          <w:pgMar w:top="1702" w:right="1418" w:bottom="1702" w:left="1418" w:header="992" w:footer="992" w:gutter="0"/>
          <w:cols w:space="720"/>
          <w:noEndnote/>
          <w:docGrid w:linePitch="299"/>
        </w:sectPr>
      </w:pPr>
    </w:p>
    <w:p w:rsidR="00000000" w:rsidRPr="00E667B4" w:rsidP="00E667B4">
      <w:pPr>
        <w:pStyle w:val="SuperHeading"/>
      </w:pPr>
      <w:r w:rsidRPr="00E667B4">
        <w:t xml:space="preserve">Assessment </w:t>
      </w:r>
      <w:r w:rsidRPr="00E667B4">
        <w:t>Requirements for MEM21007 Service complex quartz watches</w:t>
      </w:r>
    </w:p>
    <w:p w:rsidR="00000000" w:rsidRPr="00E667B4" w:rsidP="00E667B4">
      <w:pPr>
        <w:pStyle w:val="Heading1"/>
      </w:pPr>
      <w:bookmarkStart w:id="10" w:name="O_951232"/>
      <w:bookmarkEnd w:id="10"/>
      <w:r w:rsidRPr="00E667B4">
        <w:t>Modification History</w:t>
      </w:r>
    </w:p>
    <w:p w:rsidR="00000000" w:rsidRPr="00E667B4" w:rsidP="00507FEC">
      <w:pPr>
        <w:pStyle w:val="BodyText"/>
      </w:pPr>
      <w:r w:rsidRPr="00E667B4">
        <w:t xml:space="preserve">Release 1. Supersedes and is equivalent to MEM21007A Service complex quartz watches </w:t>
      </w:r>
    </w:p>
    <w:p w:rsidR="00000000" w:rsidRPr="00E667B4" w:rsidP="00E667B4">
      <w:pPr>
        <w:pStyle w:val="Heading1"/>
      </w:pPr>
      <w:bookmarkStart w:id="11" w:name="O_951235"/>
      <w:bookmarkEnd w:id="11"/>
      <w:r w:rsidRPr="00E667B4">
        <w:t>Performance Evidence</w:t>
      </w:r>
    </w:p>
    <w:p w:rsidR="00000000" w:rsidRPr="00E667B4" w:rsidP="00507FEC">
      <w:pPr>
        <w:pStyle w:val="BodyText"/>
      </w:pPr>
      <w:r w:rsidRPr="00E667B4">
        <w:t>Evidence required to demonstrate compet</w:t>
      </w:r>
      <w:r w:rsidRPr="00E667B4">
        <w:t>ence in this unit must be relevant to and satisfy the requirements of the elements and performance criteria on at least two (2) occasions and include:</w:t>
      </w:r>
    </w:p>
    <w:p w:rsidR="00000000" w:rsidRPr="00E667B4" w:rsidP="00E667B4">
      <w:pPr>
        <w:pStyle w:val="ListBullet"/>
      </w:pPr>
      <w:r w:rsidRPr="00E667B4">
        <w:t xml:space="preserve">following work instructions, standard operating procedures (SOPs) and safe work practices </w:t>
      </w:r>
    </w:p>
    <w:p w:rsidR="00000000" w:rsidRPr="00E667B4" w:rsidP="00E667B4">
      <w:pPr>
        <w:pStyle w:val="ListBullet"/>
      </w:pPr>
      <w:r w:rsidRPr="00E667B4">
        <w:t>liaising with</w:t>
      </w:r>
      <w:r w:rsidRPr="00E667B4">
        <w:t xml:space="preserve"> customer and verifying condition and performance, identifying service costs, and recording and documenting repair process</w:t>
      </w:r>
    </w:p>
    <w:p w:rsidR="00000000" w:rsidRPr="00E667B4" w:rsidP="00E667B4">
      <w:pPr>
        <w:pStyle w:val="ListBullet"/>
      </w:pPr>
      <w:r w:rsidRPr="00E667B4">
        <w:t xml:space="preserve">dismantling complex quartz watches, chronographs and perpetual calendars using appropriate workshop tools and equipment </w:t>
      </w:r>
    </w:p>
    <w:p w:rsidR="00000000" w:rsidRPr="00E667B4" w:rsidP="00E667B4">
      <w:pPr>
        <w:pStyle w:val="ListBullet"/>
      </w:pPr>
      <w:r w:rsidRPr="00E667B4">
        <w:t>servicing mu</w:t>
      </w:r>
      <w:r w:rsidRPr="00E667B4">
        <w:t xml:space="preserve">ltiple step motors in quartz chronograph and perpetual calendar watches in an appropriate work environment </w:t>
      </w:r>
    </w:p>
    <w:p w:rsidR="00000000" w:rsidRPr="00E667B4" w:rsidP="00E667B4">
      <w:pPr>
        <w:pStyle w:val="ListBullet"/>
      </w:pPr>
      <w:r w:rsidRPr="00E667B4">
        <w:t>fault finding complex quartz watches and identifying faulty or worn components and replacing in accordance with manufacturers’ specifications</w:t>
      </w:r>
    </w:p>
    <w:p w:rsidR="00000000" w:rsidRPr="00E667B4" w:rsidP="00E667B4">
      <w:pPr>
        <w:pStyle w:val="ListBullet"/>
      </w:pPr>
      <w:r w:rsidRPr="00E667B4">
        <w:t xml:space="preserve">reassembling, lubricating, performance testing and adjusting complex quartz watches </w:t>
      </w:r>
    </w:p>
    <w:p w:rsidR="00000000" w:rsidRPr="00E667B4" w:rsidP="00E667B4">
      <w:pPr>
        <w:pStyle w:val="ListBullet"/>
      </w:pPr>
      <w:r w:rsidRPr="00E667B4">
        <w:t>re-programming and resetting integrated circuits and synchronising analog displays for quartz chronographs and perpetual calendars.</w:t>
      </w:r>
    </w:p>
    <w:p w:rsidR="00000000" w:rsidRPr="00E667B4" w:rsidP="00E667B4">
      <w:pPr>
        <w:pStyle w:val="AllowPageBreak"/>
      </w:pPr>
    </w:p>
    <w:p w:rsidR="00000000" w:rsidRPr="00E667B4" w:rsidP="00E667B4">
      <w:pPr>
        <w:pStyle w:val="Heading1"/>
      </w:pPr>
      <w:bookmarkStart w:id="12" w:name="O_951234"/>
      <w:bookmarkEnd w:id="12"/>
      <w:r w:rsidRPr="00E667B4">
        <w:t>Knowledge Evidence</w:t>
      </w:r>
    </w:p>
    <w:p w:rsidR="00000000" w:rsidRPr="00E667B4" w:rsidP="00507FEC">
      <w:pPr>
        <w:pStyle w:val="BodyText"/>
      </w:pPr>
      <w:r w:rsidRPr="00E667B4">
        <w:t>Evi</w:t>
      </w:r>
      <w:r w:rsidRPr="00E667B4">
        <w:t>dence required to demonstrate the required knowledge for this unit must be relevant to and satisfy the requirements of the elements and performance criteria and include knowledge of:</w:t>
      </w:r>
    </w:p>
    <w:p w:rsidR="00000000" w:rsidRPr="00E667B4" w:rsidP="00E667B4">
      <w:pPr>
        <w:pStyle w:val="ListBullet"/>
      </w:pPr>
      <w:r w:rsidRPr="00E667B4">
        <w:t>safe work practices and procedures and use of personal protective equipm</w:t>
      </w:r>
      <w:r w:rsidRPr="00E667B4">
        <w:t>ent (PPE)</w:t>
      </w:r>
    </w:p>
    <w:p w:rsidR="00000000" w:rsidRPr="00E667B4" w:rsidP="00E667B4">
      <w:pPr>
        <w:pStyle w:val="ListBullet"/>
      </w:pPr>
      <w:r w:rsidRPr="00E667B4">
        <w:t>quartz watch construction, components and operating principles, including calendars and motor drive systems</w:t>
      </w:r>
    </w:p>
    <w:p w:rsidR="00000000" w:rsidRPr="00E667B4" w:rsidP="00E667B4">
      <w:pPr>
        <w:pStyle w:val="ListBullet"/>
      </w:pPr>
      <w:r w:rsidRPr="00E667B4">
        <w:t>service procedures for complex analog and digital quartz watches</w:t>
      </w:r>
    </w:p>
    <w:p w:rsidR="00000000" w:rsidRPr="00E667B4" w:rsidP="00E667B4">
      <w:pPr>
        <w:pStyle w:val="ListBullet"/>
      </w:pPr>
      <w:r w:rsidRPr="00E667B4">
        <w:t>client liaison techniques</w:t>
      </w:r>
    </w:p>
    <w:p w:rsidR="00000000" w:rsidRPr="00E667B4" w:rsidP="00E667B4">
      <w:pPr>
        <w:pStyle w:val="ListBullet"/>
      </w:pPr>
      <w:r w:rsidRPr="00E667B4">
        <w:t>fault-finding techniques for quartz watches</w:t>
      </w:r>
    </w:p>
    <w:p w:rsidR="00000000" w:rsidRPr="00E667B4" w:rsidP="00E667B4">
      <w:pPr>
        <w:pStyle w:val="ListBullet"/>
      </w:pPr>
      <w:r w:rsidRPr="00E667B4">
        <w:t>per</w:t>
      </w:r>
      <w:r w:rsidRPr="00E667B4">
        <w:t xml:space="preserve">formance testing equipment/procedures </w:t>
      </w:r>
    </w:p>
    <w:p w:rsidR="00000000" w:rsidRPr="00E667B4" w:rsidP="00E667B4">
      <w:pPr>
        <w:pStyle w:val="ListBullet"/>
      </w:pPr>
      <w:r w:rsidRPr="00E667B4">
        <w:t>types of calendar displays</w:t>
      </w:r>
    </w:p>
    <w:p w:rsidR="00000000" w:rsidRPr="00E667B4" w:rsidP="00E667B4">
      <w:pPr>
        <w:pStyle w:val="ListBullet"/>
      </w:pPr>
      <w:r w:rsidRPr="00E667B4">
        <w:t>service procedures to program and reset chronograph and perpetual calendar circuits.</w:t>
      </w:r>
    </w:p>
    <w:p w:rsidR="00000000" w:rsidRPr="00E667B4" w:rsidP="00E667B4">
      <w:pPr>
        <w:pStyle w:val="AllowPageBreak"/>
      </w:pPr>
    </w:p>
    <w:p w:rsidR="00000000" w:rsidRPr="00E667B4" w:rsidP="00E667B4">
      <w:pPr>
        <w:pStyle w:val="Heading1"/>
      </w:pPr>
      <w:bookmarkStart w:id="13" w:name="O_951233"/>
      <w:bookmarkEnd w:id="13"/>
      <w:r w:rsidRPr="00E667B4">
        <w:t>Assessment Conditions</w:t>
      </w:r>
    </w:p>
    <w:p w:rsidR="00000000" w:rsidRPr="00E667B4" w:rsidP="00E667B4">
      <w:pPr>
        <w:pStyle w:val="ListBullet"/>
      </w:pPr>
      <w:r w:rsidRPr="00E667B4">
        <w:t>Assessors must:</w:t>
      </w:r>
    </w:p>
    <w:p w:rsidR="00000000" w:rsidRPr="00E667B4" w:rsidP="00E667B4">
      <w:pPr>
        <w:pStyle w:val="ListBullet2"/>
      </w:pPr>
      <w:r w:rsidRPr="00E667B4">
        <w:t xml:space="preserve">have vocational competency in servicing complex </w:t>
      </w:r>
      <w:r w:rsidRPr="00E667B4">
        <w:t>quartz watches at least to the level being assessed with relevant industry knowledge and experience</w:t>
      </w:r>
    </w:p>
    <w:p w:rsidR="00000000" w:rsidRPr="00E667B4" w:rsidP="00E667B4">
      <w:pPr>
        <w:pStyle w:val="ListBullet2"/>
      </w:pPr>
      <w:r w:rsidRPr="00E667B4">
        <w:t xml:space="preserve">satisfy the assessor requirements in the </w:t>
      </w:r>
      <w:r w:rsidRPr="00E667B4">
        <w:rPr>
          <w:rStyle w:val="Emphasis"/>
        </w:rPr>
        <w:t xml:space="preserve">Standards for Registered Training Organisations 2015 </w:t>
      </w:r>
      <w:r w:rsidRPr="00E667B4">
        <w:t>or its replacement</w:t>
      </w:r>
      <w:r w:rsidRPr="00E667B4">
        <w:rPr>
          <w:rStyle w:val="Emphasis"/>
        </w:rPr>
        <w:t xml:space="preserve"> </w:t>
      </w:r>
      <w:r w:rsidRPr="00E667B4">
        <w:t xml:space="preserve">and comply with the </w:t>
      </w:r>
      <w:r w:rsidRPr="00E667B4">
        <w:rPr>
          <w:rStyle w:val="Emphasis"/>
        </w:rPr>
        <w:t xml:space="preserve">National Vocational Education and Training Regulator Act 2011, </w:t>
      </w:r>
      <w:r w:rsidRPr="00E667B4">
        <w:t>its replacement</w:t>
      </w:r>
      <w:r w:rsidRPr="00E667B4">
        <w:rPr>
          <w:rStyle w:val="Emphasis"/>
        </w:rPr>
        <w:t xml:space="preserve"> </w:t>
      </w:r>
      <w:r w:rsidRPr="00E667B4">
        <w:t>or equivalent legislation covering VET regulation in a non-referring state/territory as the case requires</w:t>
      </w:r>
    </w:p>
    <w:p w:rsidR="00000000" w:rsidRPr="00E667B4" w:rsidP="00E667B4">
      <w:pPr>
        <w:pStyle w:val="ListBullet"/>
      </w:pPr>
      <w:r w:rsidRPr="00E667B4">
        <w:t>Where possible assessment must occur in operational workplace situatio</w:t>
      </w:r>
      <w:r w:rsidRPr="00E667B4">
        <w:t>ns. Where this is not possible or where personal safety or environmental damage are limiting factors, assessment must occur in a sufficiently rigorous simulated environment that reflects realistic operational workplace conditions. This must cover all aspec</w:t>
      </w:r>
      <w:r w:rsidRPr="00E667B4">
        <w:t>ts of workplace performance, including environment, task skills, task management skills, contingency management skills and job role environment skills</w:t>
      </w:r>
    </w:p>
    <w:p w:rsidR="00000000" w:rsidRPr="00E667B4" w:rsidP="00E667B4">
      <w:pPr>
        <w:pStyle w:val="ListBullet"/>
      </w:pPr>
      <w:r w:rsidRPr="00E667B4">
        <w:t>Conditions for assessment must include access to all tools, equipment, materials and documentation requir</w:t>
      </w:r>
      <w:r w:rsidRPr="00E667B4">
        <w:t>ed, including relevant workplace procedures, product and manufacturing specifications</w:t>
      </w:r>
    </w:p>
    <w:p w:rsidR="00000000" w:rsidRPr="00E667B4" w:rsidP="00E667B4">
      <w:pPr>
        <w:pStyle w:val="ListBullet"/>
      </w:pPr>
      <w:r w:rsidRPr="00E667B4">
        <w:t>Assessment processes and techniques must be appropriate to the language, literacy and numeracy requirements of the work being performed and the needs of the candidate.</w:t>
      </w:r>
    </w:p>
    <w:p w:rsidR="00000000" w:rsidRPr="00E667B4" w:rsidP="00E667B4">
      <w:pPr>
        <w:pStyle w:val="AllowPageBreak"/>
      </w:pPr>
    </w:p>
    <w:p w:rsidR="00000000" w:rsidRPr="00E667B4" w:rsidP="00E667B4">
      <w:pPr>
        <w:pStyle w:val="Heading1"/>
      </w:pPr>
      <w:bookmarkStart w:id="14" w:name="O_951231"/>
      <w:bookmarkEnd w:id="14"/>
      <w:r w:rsidRPr="00E667B4">
        <w:t>Links</w:t>
      </w:r>
    </w:p>
    <w:p w:rsidR="00000000" w:rsidRPr="00E667B4" w:rsidP="00507FEC">
      <w:pPr>
        <w:pStyle w:val="BodyText"/>
      </w:pPr>
      <w:r w:rsidRPr="00E667B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055EE">
        <w:rPr>
          <w:rStyle w:val="Hyperlink"/>
        </w:rPr>
        <w:t>https://vetnet.gov.au/Pages/TrainingDocs.aspx?q=b7050d37-5fd0-4740-8f7d-3b7a49c10bb2</w:t>
      </w:r>
      <w:r>
        <w:fldChar w:fldCharType="end"/>
      </w:r>
    </w:p>
    <w:p w:rsidR="00000000" w:rsidRPr="00E667B4" w:rsidP="00E667B4"/>
    <w:sectPr w:rsidSect="00E667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rsidRPr="00507FEC" w:rsidP="00507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C" w:rsidP="00E66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7FEC" w:rsidP="00E667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7FEC" w:rsidP="00E667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rsidP="00E667B4">
    <w:pPr>
      <w:pStyle w:val="Footer"/>
      <w:framePr w:wrap="around"/>
    </w:pPr>
    <w:r>
      <w:fldChar w:fldCharType="begin"/>
    </w:r>
    <w:r>
      <w:instrText xml:space="preserve"> DOCPROPERTY  Subject  \* MERGEFORMAT </w:instrText>
    </w:r>
    <w:r>
      <w:fldChar w:fldCharType="separate"/>
    </w:r>
    <w:r w:rsidR="00507FEC">
      <w:t>Approved</w:t>
    </w:r>
    <w:r w:rsidR="00507FEC">
      <w:fldChar w:fldCharType="end"/>
    </w:r>
    <w:r>
      <w:tab/>
      <w:t xml:space="preserve">Page </w:t>
    </w:r>
    <w:r>
      <w:fldChar w:fldCharType="begin"/>
    </w:r>
    <w:r>
      <w:instrText xml:space="preserve"> PAGE  \* Arabic  \* MERGEFORMAT </w:instrText>
    </w:r>
    <w:r>
      <w:fldChar w:fldCharType="separate"/>
    </w:r>
    <w:r w:rsidR="00507F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FEC">
      <w:rPr>
        <w:noProof/>
      </w:rPr>
      <w:t>5</w:t>
    </w:r>
    <w:r>
      <w:rPr>
        <w:noProof/>
      </w:rPr>
      <w:fldChar w:fldCharType="end"/>
    </w:r>
  </w:p>
  <w:p w:rsidR="00E667B4" w:rsidP="00E667B4">
    <w:pPr>
      <w:pStyle w:val="Footer"/>
      <w:framePr w:wrap="around"/>
    </w:pPr>
    <w:r>
      <w:t xml:space="preserve">© Commonwealth of Australia, </w:t>
    </w:r>
    <w:r>
      <w:fldChar w:fldCharType="begin"/>
    </w:r>
    <w:r>
      <w:instrText xml:space="preserve"> DATE  \@ "yyyy"  \* MERGEFORMAT </w:instrText>
    </w:r>
    <w:r>
      <w:fldChar w:fldCharType="separate"/>
    </w:r>
    <w:r w:rsidR="00507FEC">
      <w:rPr>
        <w:noProof/>
      </w:rPr>
      <w:t>2025</w:t>
    </w:r>
    <w:r>
      <w:fldChar w:fldCharType="end"/>
    </w:r>
    <w:r>
      <w:tab/>
    </w:r>
    <w:r>
      <w:fldChar w:fldCharType="begin"/>
    </w:r>
    <w:r>
      <w:instrText xml:space="preserve"> DOCPROPERTY  Author  \* MERGEFORMAT </w:instrText>
    </w:r>
    <w:r>
      <w:fldChar w:fldCharType="separate"/>
    </w:r>
    <w:r w:rsidR="00507FEC">
      <w:t>Manufacturing Industry Skills Alliance</w:t>
    </w:r>
    <w:r w:rsidR="00507FEC">
      <w:fldChar w:fldCharType="end"/>
    </w:r>
  </w:p>
  <w:p w:rsidR="00E667B4" w:rsidP="00E66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7B4" w:rsidRPr="00507FEC" w:rsidP="00507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C" w:rsidRPr="002D2AF8" w:rsidP="00E667B4">
    <w:pPr>
      <w:pStyle w:val="Header"/>
      <w:framePr w:wrap="around"/>
    </w:pPr>
    <w:r>
      <w:fldChar w:fldCharType="begin"/>
    </w:r>
    <w:r>
      <w:instrText xml:space="preserve"> TITLE   \* MERGEFORMAT </w:instrText>
    </w:r>
    <w:r>
      <w:fldChar w:fldCharType="separate"/>
    </w:r>
    <w:r>
      <w:t>MEM21007 Service complex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7FEC" w:rsidP="00E667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4" w:rsidRPr="002D2AF8" w:rsidP="00E667B4">
    <w:pPr>
      <w:pStyle w:val="Header"/>
      <w:framePr w:wrap="around"/>
    </w:pPr>
    <w:r>
      <w:fldChar w:fldCharType="begin"/>
    </w:r>
    <w:r>
      <w:instrText xml:space="preserve"> TITLE   \* MERGEFORMAT </w:instrText>
    </w:r>
    <w:r>
      <w:fldChar w:fldCharType="separate"/>
    </w:r>
    <w:r w:rsidR="00507FEC">
      <w:t>MEM21007 Service complex quartz watches</w:t>
    </w:r>
    <w:r w:rsidR="00507FEC">
      <w:fldChar w:fldCharType="end"/>
    </w:r>
    <w:r>
      <w:tab/>
      <w:t xml:space="preserve">Date this document was generated: </w:t>
    </w:r>
    <w:r>
      <w:fldChar w:fldCharType="begin"/>
    </w:r>
    <w:r>
      <w:instrText xml:space="preserve"> CREATEDATE  \@ "d MMMM yyyy"  \* MERGEFORMAT </w:instrText>
    </w:r>
    <w:r>
      <w:fldChar w:fldCharType="separate"/>
    </w:r>
    <w:r w:rsidR="00507FEC">
      <w:rPr>
        <w:noProof/>
      </w:rPr>
      <w:t>2 March 2025</w:t>
    </w:r>
    <w:r>
      <w:fldChar w:fldCharType="end"/>
    </w:r>
  </w:p>
  <w:p w:rsidR="00E667B4" w:rsidP="00E66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E6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4E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61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7B4"/>
    <w:pPr>
      <w:spacing w:before="360" w:after="60"/>
      <w:outlineLvl w:val="0"/>
    </w:pPr>
    <w:rPr>
      <w:sz w:val="32"/>
    </w:rPr>
  </w:style>
  <w:style w:type="paragraph" w:styleId="Heading2">
    <w:name w:val="heading 2"/>
    <w:basedOn w:val="HeadingBase"/>
    <w:next w:val="BodyText"/>
    <w:link w:val="Heading2Char"/>
    <w:qFormat/>
    <w:rsid w:val="00E667B4"/>
    <w:pPr>
      <w:keepLines/>
      <w:spacing w:before="240" w:after="120"/>
      <w:outlineLvl w:val="1"/>
    </w:pPr>
    <w:rPr>
      <w:sz w:val="28"/>
      <w:szCs w:val="40"/>
    </w:rPr>
  </w:style>
  <w:style w:type="paragraph" w:styleId="Heading3">
    <w:name w:val="heading 3"/>
    <w:basedOn w:val="HeadingBase"/>
    <w:next w:val="BodyText"/>
    <w:link w:val="Heading3Char"/>
    <w:qFormat/>
    <w:rsid w:val="00E667B4"/>
    <w:pPr>
      <w:spacing w:before="180" w:after="120"/>
      <w:outlineLvl w:val="2"/>
    </w:pPr>
    <w:rPr>
      <w:spacing w:val="-10"/>
      <w:kern w:val="32"/>
    </w:rPr>
  </w:style>
  <w:style w:type="paragraph" w:styleId="Heading4">
    <w:name w:val="heading 4"/>
    <w:basedOn w:val="HeadingBase"/>
    <w:next w:val="BodyText"/>
    <w:link w:val="Heading4Char"/>
    <w:qFormat/>
    <w:rsid w:val="00E667B4"/>
    <w:pPr>
      <w:spacing w:before="160" w:after="120"/>
      <w:outlineLvl w:val="3"/>
    </w:pPr>
    <w:rPr>
      <w:sz w:val="22"/>
    </w:rPr>
  </w:style>
  <w:style w:type="paragraph" w:styleId="Heading5">
    <w:name w:val="heading 5"/>
    <w:basedOn w:val="HeadingBase"/>
    <w:next w:val="Normal"/>
    <w:link w:val="Heading5Char"/>
    <w:qFormat/>
    <w:rsid w:val="00E667B4"/>
    <w:pPr>
      <w:spacing w:before="80"/>
      <w:outlineLvl w:val="4"/>
    </w:pPr>
    <w:rPr>
      <w:color w:val="918585"/>
      <w:sz w:val="20"/>
    </w:rPr>
  </w:style>
  <w:style w:type="paragraph" w:styleId="Heading6">
    <w:name w:val="heading 6"/>
    <w:basedOn w:val="HeadingBase"/>
    <w:next w:val="Normal"/>
    <w:link w:val="Heading6Char"/>
    <w:qFormat/>
    <w:rsid w:val="00E667B4"/>
    <w:pPr>
      <w:spacing w:before="60"/>
      <w:outlineLvl w:val="5"/>
    </w:pPr>
    <w:rPr>
      <w:color w:val="918585"/>
      <w:sz w:val="20"/>
    </w:rPr>
  </w:style>
  <w:style w:type="paragraph" w:styleId="Heading7">
    <w:name w:val="heading 7"/>
    <w:basedOn w:val="Normal"/>
    <w:next w:val="Normal"/>
    <w:link w:val="Heading7Char"/>
    <w:qFormat/>
    <w:rsid w:val="00E667B4"/>
    <w:pPr>
      <w:ind w:left="720"/>
      <w:outlineLvl w:val="6"/>
    </w:pPr>
    <w:rPr>
      <w:i/>
    </w:rPr>
  </w:style>
  <w:style w:type="paragraph" w:styleId="Heading8">
    <w:name w:val="heading 8"/>
    <w:basedOn w:val="Normal"/>
    <w:next w:val="Normal"/>
    <w:link w:val="Heading8Char"/>
    <w:qFormat/>
    <w:rsid w:val="00E667B4"/>
    <w:pPr>
      <w:ind w:left="720"/>
      <w:outlineLvl w:val="7"/>
    </w:pPr>
    <w:rPr>
      <w:i/>
    </w:rPr>
  </w:style>
  <w:style w:type="paragraph" w:styleId="Heading9">
    <w:name w:val="heading 9"/>
    <w:basedOn w:val="Normal"/>
    <w:next w:val="Normal"/>
    <w:link w:val="Heading9Char"/>
    <w:qFormat/>
    <w:rsid w:val="00E667B4"/>
    <w:pPr>
      <w:ind w:left="720"/>
      <w:outlineLvl w:val="8"/>
    </w:pPr>
    <w:rPr>
      <w:i/>
    </w:rPr>
  </w:style>
  <w:style w:type="character" w:default="1" w:styleId="DefaultParagraphFont">
    <w:name w:val="Default Paragraph Font"/>
    <w:uiPriority w:val="1"/>
    <w:unhideWhenUsed/>
    <w:rsid w:val="00E66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7B4"/>
  </w:style>
  <w:style w:type="character" w:customStyle="1" w:styleId="Heading1Char">
    <w:name w:val="Heading 1 Char"/>
    <w:basedOn w:val="DefaultParagraphFont"/>
    <w:link w:val="Heading1"/>
    <w:rsid w:val="00E667B4"/>
    <w:rPr>
      <w:rFonts w:ascii="Times New Roman" w:eastAsia="Times New Roman" w:hAnsi="Times New Roman" w:cs="Times New Roman"/>
      <w:b/>
      <w:sz w:val="32"/>
      <w:szCs w:val="20"/>
      <w:lang w:eastAsia="en-US"/>
    </w:rPr>
  </w:style>
  <w:style w:type="paragraph" w:styleId="BodyText">
    <w:name w:val="Body Text"/>
    <w:basedOn w:val="Normal"/>
    <w:link w:val="BodyTextChar"/>
    <w:rsid w:val="00E66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7B4"/>
    <w:rPr>
      <w:rFonts w:ascii="Times New Roman" w:eastAsia="Times New Roman" w:hAnsi="Times New Roman" w:cs="Times New Roman"/>
      <w:sz w:val="24"/>
      <w:lang w:eastAsia="en-US"/>
    </w:rPr>
  </w:style>
  <w:style w:type="paragraph" w:styleId="ListBullet">
    <w:name w:val="List Bullet"/>
    <w:basedOn w:val="List"/>
    <w:rsid w:val="00E667B4"/>
    <w:pPr>
      <w:numPr>
        <w:numId w:val="12"/>
      </w:numPr>
      <w:tabs>
        <w:tab w:val="clear" w:pos="340"/>
      </w:tabs>
      <w:spacing w:before="40" w:after="40"/>
    </w:pPr>
  </w:style>
  <w:style w:type="character" w:customStyle="1" w:styleId="SpecialBold">
    <w:name w:val="Special Bold"/>
    <w:basedOn w:val="DefaultParagraphFont"/>
    <w:rsid w:val="00E667B4"/>
    <w:rPr>
      <w:b/>
      <w:spacing w:val="0"/>
    </w:rPr>
  </w:style>
  <w:style w:type="paragraph" w:styleId="ListBullet2">
    <w:name w:val="List Bullet 2"/>
    <w:basedOn w:val="List2"/>
    <w:rsid w:val="00E667B4"/>
    <w:pPr>
      <w:numPr>
        <w:numId w:val="13"/>
      </w:numPr>
      <w:tabs>
        <w:tab w:val="clear" w:pos="680"/>
      </w:tabs>
    </w:pPr>
  </w:style>
  <w:style w:type="character" w:styleId="Emphasis">
    <w:name w:val="Emphasis"/>
    <w:basedOn w:val="DefaultParagraphFont"/>
    <w:qFormat/>
    <w:rsid w:val="00E667B4"/>
    <w:rPr>
      <w:i/>
    </w:rPr>
  </w:style>
  <w:style w:type="paragraph" w:customStyle="1" w:styleId="SuperHeading">
    <w:name w:val="SuperHeading"/>
    <w:basedOn w:val="Normal"/>
    <w:rsid w:val="00E667B4"/>
    <w:pPr>
      <w:spacing w:before="240" w:after="120"/>
      <w:outlineLvl w:val="0"/>
    </w:pPr>
    <w:rPr>
      <w:rFonts w:ascii="Times New Roman" w:hAnsi="Times New Roman"/>
      <w:b/>
      <w:sz w:val="32"/>
    </w:rPr>
  </w:style>
  <w:style w:type="paragraph" w:customStyle="1" w:styleId="AllowPageBreak">
    <w:name w:val="AllowPageBreak"/>
    <w:rsid w:val="00E66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7B4"/>
    <w:rPr>
      <w:rFonts w:ascii="Courier New" w:eastAsia="Times New Roman" w:hAnsi="Courier New" w:cs="Times New Roman"/>
      <w:i/>
      <w:szCs w:val="20"/>
      <w:lang w:eastAsia="en-US"/>
    </w:rPr>
  </w:style>
  <w:style w:type="paragraph" w:customStyle="1" w:styleId="HeadingBase">
    <w:name w:val="Heading Base"/>
    <w:rsid w:val="00E66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7B4"/>
    <w:pPr>
      <w:tabs>
        <w:tab w:val="right" w:leader="dot" w:pos="9072"/>
      </w:tabs>
      <w:ind w:left="567"/>
    </w:pPr>
    <w:rPr>
      <w:szCs w:val="22"/>
    </w:rPr>
  </w:style>
  <w:style w:type="paragraph" w:customStyle="1" w:styleId="TOCBase">
    <w:name w:val="TOC Base"/>
    <w:rsid w:val="00E66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7B4"/>
    <w:pPr>
      <w:tabs>
        <w:tab w:val="right" w:leader="dot" w:pos="9072"/>
      </w:tabs>
      <w:spacing w:before="40" w:after="40"/>
      <w:ind w:left="284"/>
    </w:pPr>
    <w:rPr>
      <w:rFonts w:ascii="Times New Roman" w:hAnsi="Times New Roman"/>
    </w:rPr>
  </w:style>
  <w:style w:type="paragraph" w:styleId="TOC1">
    <w:name w:val="toc 1"/>
    <w:basedOn w:val="TOCBase"/>
    <w:next w:val="Normal"/>
    <w:rsid w:val="00E66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7B4"/>
    <w:rPr>
      <w:rFonts w:ascii="Times New Roman" w:eastAsia="Times New Roman" w:hAnsi="Times New Roman" w:cs="Times New Roman"/>
      <w:sz w:val="16"/>
      <w:lang w:eastAsia="en-US"/>
    </w:rPr>
  </w:style>
  <w:style w:type="paragraph" w:styleId="Title">
    <w:name w:val="Title"/>
    <w:basedOn w:val="HeadingBase"/>
    <w:link w:val="TitleChar"/>
    <w:qFormat/>
    <w:rsid w:val="00E667B4"/>
    <w:pPr>
      <w:spacing w:before="5040"/>
      <w:jc w:val="center"/>
    </w:pPr>
    <w:rPr>
      <w:sz w:val="48"/>
      <w:szCs w:val="72"/>
      <w:lang w:val="en-US"/>
    </w:rPr>
  </w:style>
  <w:style w:type="character" w:customStyle="1" w:styleId="TitleChar">
    <w:name w:val="Title Char"/>
    <w:basedOn w:val="DefaultParagraphFont"/>
    <w:link w:val="Title"/>
    <w:rsid w:val="00E66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7B4"/>
    <w:pPr>
      <w:tabs>
        <w:tab w:val="left" w:pos="3600"/>
        <w:tab w:val="left" w:pos="3958"/>
      </w:tabs>
    </w:pPr>
  </w:style>
  <w:style w:type="paragraph" w:styleId="List">
    <w:name w:val="List"/>
    <w:basedOn w:val="BodyText"/>
    <w:next w:val="BodyText"/>
    <w:rsid w:val="00E667B4"/>
    <w:pPr>
      <w:tabs>
        <w:tab w:val="left" w:pos="340"/>
      </w:tabs>
      <w:spacing w:before="60" w:after="60"/>
      <w:ind w:left="340" w:hanging="340"/>
    </w:pPr>
  </w:style>
  <w:style w:type="paragraph" w:customStyle="1" w:styleId="Note">
    <w:name w:val="Note"/>
    <w:basedOn w:val="BodyText"/>
    <w:rsid w:val="00E66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7B4"/>
    <w:pPr>
      <w:framePr w:wrap="auto" w:hAnchor="text" w:y="6049"/>
    </w:pPr>
    <w:rPr>
      <w:color w:val="000000"/>
      <w:sz w:val="40"/>
    </w:rPr>
  </w:style>
  <w:style w:type="paragraph" w:customStyle="1" w:styleId="TOCTitle">
    <w:name w:val="TOCTitle"/>
    <w:basedOn w:val="Heading1"/>
    <w:rsid w:val="00E667B4"/>
    <w:pPr>
      <w:spacing w:after="240"/>
      <w:jc w:val="center"/>
      <w:outlineLvl w:val="9"/>
    </w:pPr>
    <w:rPr>
      <w:caps/>
    </w:rPr>
  </w:style>
  <w:style w:type="paragraph" w:customStyle="1" w:styleId="Version">
    <w:name w:val="Version"/>
    <w:rsid w:val="00E66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7B4"/>
    <w:pPr>
      <w:keepNext w:val="0"/>
      <w:tabs>
        <w:tab w:val="right" w:pos="4176"/>
      </w:tabs>
      <w:ind w:left="198" w:hanging="198"/>
    </w:pPr>
    <w:rPr>
      <w:rFonts w:ascii="Garamond" w:hAnsi="Garamond"/>
    </w:rPr>
  </w:style>
  <w:style w:type="paragraph" w:styleId="IndexHeading">
    <w:name w:val="index heading"/>
    <w:basedOn w:val="Normal"/>
    <w:next w:val="Index1"/>
    <w:semiHidden/>
    <w:rsid w:val="00E667B4"/>
    <w:pPr>
      <w:spacing w:before="120" w:after="120"/>
    </w:pPr>
    <w:rPr>
      <w:rFonts w:ascii="Arial" w:hAnsi="Arial"/>
      <w:b/>
      <w:color w:val="918585"/>
      <w:sz w:val="24"/>
    </w:rPr>
  </w:style>
  <w:style w:type="paragraph" w:styleId="Header">
    <w:name w:val="header"/>
    <w:basedOn w:val="Normal"/>
    <w:link w:val="HeaderChar"/>
    <w:rsid w:val="00E66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7B4"/>
    <w:rPr>
      <w:rFonts w:ascii="Times New Roman" w:eastAsia="Times New Roman" w:hAnsi="Times New Roman" w:cs="Times New Roman"/>
      <w:sz w:val="16"/>
      <w:szCs w:val="20"/>
      <w:lang w:val="en-GB" w:eastAsia="en-US"/>
    </w:rPr>
  </w:style>
  <w:style w:type="paragraph" w:customStyle="1" w:styleId="Chapter">
    <w:name w:val="Chapter"/>
    <w:basedOn w:val="Normal"/>
    <w:rsid w:val="00E667B4"/>
    <w:pPr>
      <w:spacing w:before="240"/>
    </w:pPr>
    <w:rPr>
      <w:rFonts w:ascii="Times New Roman" w:hAnsi="Times New Roman"/>
      <w:smallCaps/>
      <w:spacing w:val="80"/>
      <w:sz w:val="28"/>
    </w:rPr>
  </w:style>
  <w:style w:type="paragraph" w:customStyle="1" w:styleId="InChapter">
    <w:name w:val="InChapter"/>
    <w:basedOn w:val="Heading3"/>
    <w:rsid w:val="00E667B4"/>
    <w:pPr>
      <w:spacing w:after="240"/>
      <w:outlineLvl w:val="9"/>
    </w:pPr>
    <w:rPr>
      <w:noProof/>
    </w:rPr>
  </w:style>
  <w:style w:type="paragraph" w:styleId="Index2">
    <w:name w:val="index 2"/>
    <w:basedOn w:val="Normal"/>
    <w:next w:val="Normal"/>
    <w:semiHidden/>
    <w:rsid w:val="00E667B4"/>
    <w:pPr>
      <w:tabs>
        <w:tab w:val="right" w:pos="4176"/>
      </w:tabs>
      <w:ind w:left="568" w:hanging="284"/>
    </w:pPr>
    <w:rPr>
      <w:rFonts w:ascii="Garamond" w:hAnsi="Garamond"/>
    </w:rPr>
  </w:style>
  <w:style w:type="paragraph" w:customStyle="1" w:styleId="Byline">
    <w:name w:val="Byline"/>
    <w:rsid w:val="00E66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7B4"/>
    <w:pPr>
      <w:tabs>
        <w:tab w:val="clear" w:pos="3600"/>
        <w:tab w:val="clear" w:pos="3958"/>
      </w:tabs>
      <w:jc w:val="right"/>
    </w:pPr>
  </w:style>
  <w:style w:type="paragraph" w:styleId="Caption">
    <w:name w:val="caption"/>
    <w:basedOn w:val="BodyText"/>
    <w:next w:val="Normal"/>
    <w:qFormat/>
    <w:rsid w:val="00E667B4"/>
    <w:pPr>
      <w:framePr w:w="2268" w:hSpace="181" w:vSpace="181" w:wrap="around" w:vAnchor="text" w:hAnchor="page" w:x="1135" w:y="285" w:anchorLock="1"/>
    </w:pPr>
    <w:rPr>
      <w:i/>
    </w:rPr>
  </w:style>
  <w:style w:type="paragraph" w:customStyle="1" w:styleId="MiniTOCTitle">
    <w:name w:val="MiniTOCTitle"/>
    <w:basedOn w:val="Heading4"/>
    <w:rsid w:val="00E667B4"/>
    <w:pPr>
      <w:spacing w:before="240"/>
      <w:outlineLvl w:val="9"/>
    </w:pPr>
    <w:rPr>
      <w:noProof/>
      <w:sz w:val="24"/>
    </w:rPr>
  </w:style>
  <w:style w:type="paragraph" w:customStyle="1" w:styleId="MiniTOCItem">
    <w:name w:val="MiniTOCItem"/>
    <w:basedOn w:val="ListBullet"/>
    <w:rsid w:val="00E667B4"/>
    <w:pPr>
      <w:numPr>
        <w:numId w:val="0"/>
      </w:numPr>
      <w:tabs>
        <w:tab w:val="right" w:leader="dot" w:pos="6521"/>
      </w:tabs>
      <w:spacing w:before="0" w:after="0"/>
    </w:pPr>
  </w:style>
  <w:style w:type="paragraph" w:customStyle="1" w:styleId="TOFTitle">
    <w:name w:val="TOFTitle"/>
    <w:basedOn w:val="TOCTitle"/>
    <w:rsid w:val="00E667B4"/>
  </w:style>
  <w:style w:type="paragraph" w:styleId="TableofFigures">
    <w:name w:val="table of figures"/>
    <w:basedOn w:val="Normal"/>
    <w:next w:val="Normal"/>
    <w:semiHidden/>
    <w:rsid w:val="00E667B4"/>
    <w:pPr>
      <w:tabs>
        <w:tab w:val="right" w:leader="dot" w:pos="9072"/>
      </w:tabs>
      <w:ind w:left="970" w:hanging="403"/>
    </w:pPr>
    <w:rPr>
      <w:rFonts w:ascii="Times New Roman" w:hAnsi="Times New Roman"/>
      <w:b/>
    </w:rPr>
  </w:style>
  <w:style w:type="paragraph" w:styleId="ListNumber">
    <w:name w:val="List Number"/>
    <w:basedOn w:val="List"/>
    <w:rsid w:val="00E667B4"/>
    <w:pPr>
      <w:numPr>
        <w:numId w:val="15"/>
      </w:numPr>
      <w:tabs>
        <w:tab w:val="clear" w:pos="340"/>
      </w:tabs>
    </w:pPr>
  </w:style>
  <w:style w:type="character" w:customStyle="1" w:styleId="WingdingSymbols">
    <w:name w:val="Wingding Symbols"/>
    <w:rsid w:val="00E667B4"/>
    <w:rPr>
      <w:rFonts w:ascii="Wingdings" w:hAnsi="Wingdings"/>
    </w:rPr>
  </w:style>
  <w:style w:type="paragraph" w:customStyle="1" w:styleId="TableHeading">
    <w:name w:val="Table Heading"/>
    <w:basedOn w:val="HeadingBase"/>
    <w:rsid w:val="00E667B4"/>
    <w:pPr>
      <w:keepLines/>
      <w:pBdr>
        <w:bottom w:val="single" w:sz="6" w:space="1" w:color="918585"/>
      </w:pBdr>
      <w:spacing w:before="240"/>
    </w:pPr>
  </w:style>
  <w:style w:type="character" w:customStyle="1" w:styleId="HotSpot">
    <w:name w:val="HotSpot"/>
    <w:rsid w:val="00E667B4"/>
    <w:rPr>
      <w:color w:val="0033CC"/>
      <w:u w:val="none"/>
    </w:rPr>
  </w:style>
  <w:style w:type="paragraph" w:customStyle="1" w:styleId="BodyTextRight">
    <w:name w:val="Body Text Right"/>
    <w:basedOn w:val="BodyText"/>
    <w:rsid w:val="00E667B4"/>
    <w:pPr>
      <w:spacing w:before="0" w:after="0"/>
      <w:jc w:val="right"/>
    </w:pPr>
  </w:style>
  <w:style w:type="paragraph" w:styleId="Index3">
    <w:name w:val="index 3"/>
    <w:basedOn w:val="ListNumber2"/>
    <w:next w:val="Normal"/>
    <w:semiHidden/>
    <w:rsid w:val="00E667B4"/>
    <w:pPr>
      <w:numPr>
        <w:numId w:val="0"/>
      </w:numPr>
      <w:tabs>
        <w:tab w:val="right" w:leader="dot" w:pos="4176"/>
      </w:tabs>
    </w:pPr>
  </w:style>
  <w:style w:type="paragraph" w:styleId="ListNumber2">
    <w:name w:val="List Number 2"/>
    <w:basedOn w:val="List2"/>
    <w:rsid w:val="00E667B4"/>
    <w:pPr>
      <w:numPr>
        <w:numId w:val="10"/>
      </w:numPr>
      <w:tabs>
        <w:tab w:val="clear" w:pos="1060"/>
      </w:tabs>
    </w:pPr>
  </w:style>
  <w:style w:type="paragraph" w:customStyle="1" w:styleId="MarginNote">
    <w:name w:val="Margin Note"/>
    <w:basedOn w:val="BodyText"/>
    <w:rsid w:val="00E66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7B4"/>
    <w:rPr>
      <w:sz w:val="32"/>
    </w:rPr>
  </w:style>
  <w:style w:type="paragraph" w:customStyle="1" w:styleId="HeadingProcedure">
    <w:name w:val="Heading Procedure"/>
    <w:basedOn w:val="HeadingBase"/>
    <w:next w:val="Normal"/>
    <w:rsid w:val="00E667B4"/>
    <w:pPr>
      <w:tabs>
        <w:tab w:val="left" w:pos="0"/>
      </w:tabs>
      <w:spacing w:before="120" w:after="60"/>
    </w:pPr>
    <w:rPr>
      <w:i/>
      <w:color w:val="918585"/>
      <w:sz w:val="22"/>
    </w:rPr>
  </w:style>
  <w:style w:type="paragraph" w:customStyle="1" w:styleId="TableBodyText">
    <w:name w:val="Table Body Text"/>
    <w:basedOn w:val="BodyText"/>
    <w:rsid w:val="00E667B4"/>
    <w:pPr>
      <w:spacing w:before="60" w:after="60"/>
    </w:pPr>
  </w:style>
  <w:style w:type="paragraph" w:styleId="ListContinue">
    <w:name w:val="List Continue"/>
    <w:basedOn w:val="List"/>
    <w:rsid w:val="00E667B4"/>
    <w:pPr>
      <w:ind w:firstLine="0"/>
    </w:pPr>
  </w:style>
  <w:style w:type="paragraph" w:customStyle="1" w:styleId="ListNote">
    <w:name w:val="List Note"/>
    <w:basedOn w:val="List"/>
    <w:rsid w:val="00E667B4"/>
    <w:pPr>
      <w:pBdr>
        <w:top w:val="single" w:sz="6" w:space="2" w:color="918585"/>
        <w:bottom w:val="single" w:sz="6" w:space="2" w:color="918585"/>
      </w:pBdr>
      <w:tabs>
        <w:tab w:val="left" w:pos="1021"/>
      </w:tabs>
      <w:ind w:firstLine="0"/>
    </w:pPr>
  </w:style>
  <w:style w:type="paragraph" w:customStyle="1" w:styleId="Warning">
    <w:name w:val="Warning"/>
    <w:basedOn w:val="BodyText"/>
    <w:rsid w:val="00E667B4"/>
    <w:pPr>
      <w:shd w:val="clear" w:color="auto" w:fill="D9D9D9"/>
      <w:tabs>
        <w:tab w:val="left" w:pos="992"/>
      </w:tabs>
      <w:ind w:left="119" w:right="119"/>
    </w:pPr>
    <w:rPr>
      <w:sz w:val="20"/>
    </w:rPr>
  </w:style>
  <w:style w:type="paragraph" w:customStyle="1" w:styleId="MarginIcons">
    <w:name w:val="Margin Icons"/>
    <w:basedOn w:val="BodyText"/>
    <w:rsid w:val="00E66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7B4"/>
    <w:rPr>
      <w:rFonts w:ascii="Courier New" w:hAnsi="Courier New"/>
    </w:rPr>
  </w:style>
  <w:style w:type="paragraph" w:customStyle="1" w:styleId="NoteBullet">
    <w:name w:val="Note Bullet"/>
    <w:basedOn w:val="Note"/>
    <w:rsid w:val="00E667B4"/>
    <w:pPr>
      <w:tabs>
        <w:tab w:val="clear" w:pos="680"/>
      </w:tabs>
      <w:spacing w:before="60" w:after="60"/>
    </w:pPr>
  </w:style>
  <w:style w:type="paragraph" w:customStyle="1" w:styleId="SubHeading2">
    <w:name w:val="SubHeading2"/>
    <w:basedOn w:val="HeadingBase"/>
    <w:rsid w:val="00E667B4"/>
    <w:pPr>
      <w:spacing w:before="240" w:after="60"/>
    </w:pPr>
    <w:rPr>
      <w:sz w:val="20"/>
    </w:rPr>
  </w:style>
  <w:style w:type="paragraph" w:customStyle="1" w:styleId="SubHeading1">
    <w:name w:val="SubHeading1"/>
    <w:basedOn w:val="HeadingBase"/>
    <w:rsid w:val="00E667B4"/>
    <w:pPr>
      <w:spacing w:before="240" w:after="60"/>
    </w:pPr>
    <w:rPr>
      <w:color w:val="918585"/>
      <w:sz w:val="22"/>
    </w:rPr>
  </w:style>
  <w:style w:type="paragraph" w:customStyle="1" w:styleId="SideHeading">
    <w:name w:val="Side Heading"/>
    <w:basedOn w:val="HeadingBase"/>
    <w:rsid w:val="00E66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7B4"/>
    <w:pPr>
      <w:tabs>
        <w:tab w:val="num" w:pos="360"/>
      </w:tabs>
    </w:pPr>
  </w:style>
  <w:style w:type="paragraph" w:styleId="PlainText">
    <w:name w:val="Plain Text"/>
    <w:basedOn w:val="Normal"/>
    <w:link w:val="PlainTextChar"/>
    <w:rsid w:val="00E667B4"/>
    <w:rPr>
      <w:sz w:val="20"/>
    </w:rPr>
  </w:style>
  <w:style w:type="character" w:customStyle="1" w:styleId="PlainTextChar">
    <w:name w:val="Plain Text Char"/>
    <w:basedOn w:val="DefaultParagraphFont"/>
    <w:link w:val="PlainText"/>
    <w:rsid w:val="00E667B4"/>
    <w:rPr>
      <w:rFonts w:ascii="Courier New" w:eastAsia="Times New Roman" w:hAnsi="Courier New" w:cs="Times New Roman"/>
      <w:sz w:val="20"/>
      <w:szCs w:val="20"/>
      <w:lang w:eastAsia="en-US"/>
    </w:rPr>
  </w:style>
  <w:style w:type="character" w:customStyle="1" w:styleId="MenuOption">
    <w:name w:val="Menu Option"/>
    <w:basedOn w:val="DefaultParagraphFont"/>
    <w:rsid w:val="00E667B4"/>
    <w:rPr>
      <w:b/>
      <w:smallCaps/>
    </w:rPr>
  </w:style>
  <w:style w:type="paragraph" w:customStyle="1" w:styleId="TableListNumber">
    <w:name w:val="Table List Number"/>
    <w:basedOn w:val="ListNumber"/>
    <w:rsid w:val="00E667B4"/>
    <w:pPr>
      <w:numPr>
        <w:numId w:val="0"/>
      </w:numPr>
    </w:pPr>
  </w:style>
  <w:style w:type="paragraph" w:styleId="TOC4">
    <w:name w:val="toc 4"/>
    <w:basedOn w:val="TOCBase"/>
    <w:next w:val="Normal"/>
    <w:semiHidden/>
    <w:rsid w:val="00E667B4"/>
    <w:pPr>
      <w:tabs>
        <w:tab w:val="right" w:leader="dot" w:pos="9071"/>
      </w:tabs>
      <w:ind w:left="1701"/>
    </w:pPr>
  </w:style>
  <w:style w:type="paragraph" w:customStyle="1" w:styleId="ListAlpha">
    <w:name w:val="List Alpha"/>
    <w:basedOn w:val="List"/>
    <w:rsid w:val="00E667B4"/>
    <w:pPr>
      <w:numPr>
        <w:numId w:val="9"/>
      </w:numPr>
    </w:pPr>
  </w:style>
  <w:style w:type="paragraph" w:customStyle="1" w:styleId="ListAlpha2">
    <w:name w:val="List Alpha 2"/>
    <w:basedOn w:val="List2"/>
    <w:rsid w:val="00E667B4"/>
    <w:pPr>
      <w:numPr>
        <w:numId w:val="8"/>
      </w:numPr>
    </w:pPr>
  </w:style>
  <w:style w:type="paragraph" w:styleId="List2">
    <w:name w:val="List 2"/>
    <w:basedOn w:val="BodyText"/>
    <w:rsid w:val="00E667B4"/>
    <w:pPr>
      <w:tabs>
        <w:tab w:val="left" w:pos="680"/>
      </w:tabs>
      <w:spacing w:before="60" w:after="60"/>
      <w:ind w:left="680" w:hanging="340"/>
    </w:pPr>
  </w:style>
  <w:style w:type="paragraph" w:styleId="List3">
    <w:name w:val="List 3"/>
    <w:basedOn w:val="BodyText"/>
    <w:rsid w:val="00E667B4"/>
    <w:pPr>
      <w:tabs>
        <w:tab w:val="left" w:pos="1021"/>
      </w:tabs>
      <w:spacing w:before="60" w:after="60"/>
      <w:ind w:left="1020" w:hanging="340"/>
    </w:pPr>
  </w:style>
  <w:style w:type="paragraph" w:styleId="List4">
    <w:name w:val="List 4"/>
    <w:basedOn w:val="BodyText"/>
    <w:rsid w:val="00E667B4"/>
    <w:pPr>
      <w:tabs>
        <w:tab w:val="left" w:pos="1361"/>
      </w:tabs>
      <w:spacing w:before="60" w:after="60"/>
      <w:ind w:left="1361" w:hanging="340"/>
    </w:pPr>
  </w:style>
  <w:style w:type="paragraph" w:styleId="List5">
    <w:name w:val="List 5"/>
    <w:basedOn w:val="BodyText"/>
    <w:rsid w:val="00E667B4"/>
    <w:pPr>
      <w:tabs>
        <w:tab w:val="left" w:pos="1701"/>
      </w:tabs>
      <w:spacing w:before="60" w:after="60"/>
      <w:ind w:left="1701" w:hanging="340"/>
    </w:pPr>
  </w:style>
  <w:style w:type="paragraph" w:styleId="ListBullet3">
    <w:name w:val="List Bullet 3"/>
    <w:basedOn w:val="List3"/>
    <w:rsid w:val="00E667B4"/>
    <w:pPr>
      <w:numPr>
        <w:numId w:val="14"/>
      </w:numPr>
      <w:tabs>
        <w:tab w:val="clear" w:pos="1021"/>
      </w:tabs>
      <w:ind w:left="1037" w:hanging="357"/>
    </w:pPr>
  </w:style>
  <w:style w:type="paragraph" w:styleId="ListBullet4">
    <w:name w:val="List Bullet 4"/>
    <w:basedOn w:val="List4"/>
    <w:rsid w:val="00E667B4"/>
    <w:pPr>
      <w:numPr>
        <w:numId w:val="3"/>
      </w:numPr>
      <w:tabs>
        <w:tab w:val="clear" w:pos="1361"/>
      </w:tabs>
    </w:pPr>
  </w:style>
  <w:style w:type="paragraph" w:styleId="ListBullet5">
    <w:name w:val="List Bullet 5"/>
    <w:basedOn w:val="List5"/>
    <w:rsid w:val="00E667B4"/>
    <w:pPr>
      <w:numPr>
        <w:numId w:val="4"/>
      </w:numPr>
    </w:pPr>
  </w:style>
  <w:style w:type="paragraph" w:styleId="ListContinue2">
    <w:name w:val="List Continue 2"/>
    <w:basedOn w:val="List2"/>
    <w:rsid w:val="00E667B4"/>
    <w:pPr>
      <w:ind w:firstLine="0"/>
    </w:pPr>
  </w:style>
  <w:style w:type="paragraph" w:styleId="ListContinue3">
    <w:name w:val="List Continue 3"/>
    <w:basedOn w:val="List3"/>
    <w:rsid w:val="00E667B4"/>
    <w:pPr>
      <w:ind w:left="1021" w:firstLine="0"/>
    </w:pPr>
  </w:style>
  <w:style w:type="paragraph" w:styleId="ListContinue4">
    <w:name w:val="List Continue 4"/>
    <w:basedOn w:val="List4"/>
    <w:rsid w:val="00E667B4"/>
    <w:pPr>
      <w:ind w:firstLine="0"/>
    </w:pPr>
  </w:style>
  <w:style w:type="paragraph" w:styleId="ListContinue5">
    <w:name w:val="List Continue 5"/>
    <w:basedOn w:val="List5"/>
    <w:rsid w:val="00E667B4"/>
    <w:pPr>
      <w:ind w:firstLine="0"/>
    </w:pPr>
  </w:style>
  <w:style w:type="paragraph" w:styleId="ListNumber3">
    <w:name w:val="List Number 3"/>
    <w:basedOn w:val="List3"/>
    <w:rsid w:val="00E667B4"/>
    <w:pPr>
      <w:numPr>
        <w:numId w:val="5"/>
      </w:numPr>
    </w:pPr>
  </w:style>
  <w:style w:type="paragraph" w:styleId="ListNumber4">
    <w:name w:val="List Number 4"/>
    <w:basedOn w:val="List4"/>
    <w:rsid w:val="00E667B4"/>
    <w:pPr>
      <w:numPr>
        <w:numId w:val="6"/>
      </w:numPr>
    </w:pPr>
  </w:style>
  <w:style w:type="paragraph" w:styleId="ListNumber5">
    <w:name w:val="List Number 5"/>
    <w:basedOn w:val="List5"/>
    <w:rsid w:val="00E667B4"/>
    <w:pPr>
      <w:numPr>
        <w:numId w:val="7"/>
      </w:numPr>
    </w:pPr>
  </w:style>
  <w:style w:type="paragraph" w:styleId="BlockText">
    <w:name w:val="Block Text"/>
    <w:basedOn w:val="Normal"/>
    <w:rsid w:val="00E667B4"/>
    <w:pPr>
      <w:spacing w:after="120"/>
      <w:ind w:left="1440" w:right="1440"/>
    </w:pPr>
  </w:style>
  <w:style w:type="character" w:customStyle="1" w:styleId="Subscript">
    <w:name w:val="Subscript"/>
    <w:basedOn w:val="DefaultParagraphFont"/>
    <w:rsid w:val="00E667B4"/>
    <w:rPr>
      <w:sz w:val="16"/>
      <w:vertAlign w:val="subscript"/>
    </w:rPr>
  </w:style>
  <w:style w:type="character" w:customStyle="1" w:styleId="Superscript">
    <w:name w:val="Superscript"/>
    <w:basedOn w:val="DefaultParagraphFont"/>
    <w:rsid w:val="00E667B4"/>
    <w:rPr>
      <w:sz w:val="16"/>
      <w:vertAlign w:val="superscript"/>
    </w:rPr>
  </w:style>
  <w:style w:type="character" w:customStyle="1" w:styleId="Symbols">
    <w:name w:val="Symbols"/>
    <w:basedOn w:val="DefaultParagraphFont"/>
    <w:rsid w:val="00E667B4"/>
    <w:rPr>
      <w:rFonts w:ascii="Symbol" w:hAnsi="Symbol"/>
    </w:rPr>
  </w:style>
  <w:style w:type="character" w:customStyle="1" w:styleId="MenuOptions">
    <w:name w:val="Menu Options"/>
    <w:basedOn w:val="DefaultParagraphFont"/>
    <w:rsid w:val="00E667B4"/>
    <w:rPr>
      <w:rFonts w:ascii="Arial Narrow" w:hAnsi="Arial Narrow"/>
      <w:smallCaps/>
    </w:rPr>
  </w:style>
  <w:style w:type="character" w:customStyle="1" w:styleId="Buttons">
    <w:name w:val="Buttons"/>
    <w:basedOn w:val="DefaultParagraphFont"/>
    <w:rsid w:val="00E667B4"/>
    <w:rPr>
      <w:b/>
    </w:rPr>
  </w:style>
  <w:style w:type="character" w:customStyle="1" w:styleId="Underlined">
    <w:name w:val="Underlined"/>
    <w:basedOn w:val="DefaultParagraphFont"/>
    <w:rsid w:val="00E667B4"/>
    <w:rPr>
      <w:u w:val="single"/>
    </w:rPr>
  </w:style>
  <w:style w:type="paragraph" w:customStyle="1" w:styleId="TableBodyTextRight">
    <w:name w:val="Table Body Text Right"/>
    <w:basedOn w:val="TableBodyText"/>
    <w:rsid w:val="00E667B4"/>
    <w:pPr>
      <w:widowControl w:val="0"/>
      <w:autoSpaceDE w:val="0"/>
      <w:autoSpaceDN w:val="0"/>
      <w:adjustRightInd w:val="0"/>
      <w:jc w:val="right"/>
    </w:pPr>
    <w:rPr>
      <w:rFonts w:cs="Arial"/>
      <w:szCs w:val="18"/>
    </w:rPr>
  </w:style>
  <w:style w:type="paragraph" w:customStyle="1" w:styleId="CopyrightText">
    <w:name w:val="Copyright Text"/>
    <w:basedOn w:val="BodyText"/>
    <w:rsid w:val="00E667B4"/>
    <w:rPr>
      <w:sz w:val="18"/>
    </w:rPr>
  </w:style>
  <w:style w:type="paragraph" w:customStyle="1" w:styleId="BodySmallRight">
    <w:name w:val="Body Small Right"/>
    <w:basedOn w:val="BodyTextRight"/>
    <w:rsid w:val="00E667B4"/>
    <w:rPr>
      <w:sz w:val="18"/>
      <w:szCs w:val="18"/>
    </w:rPr>
  </w:style>
  <w:style w:type="paragraph" w:customStyle="1" w:styleId="MarginEdition">
    <w:name w:val="Margin Edition"/>
    <w:basedOn w:val="MarginNote"/>
    <w:rsid w:val="00E667B4"/>
    <w:pPr>
      <w:spacing w:before="0" w:after="0"/>
    </w:pPr>
    <w:rPr>
      <w:rFonts w:ascii="Times New Roman" w:hAnsi="Times New Roman"/>
      <w:color w:val="999999"/>
    </w:rPr>
  </w:style>
  <w:style w:type="paragraph" w:customStyle="1" w:styleId="Spacer">
    <w:name w:val="Spacer"/>
    <w:basedOn w:val="Normal"/>
    <w:rsid w:val="00E667B4"/>
    <w:rPr>
      <w:sz w:val="2"/>
      <w:szCs w:val="2"/>
    </w:rPr>
  </w:style>
  <w:style w:type="character" w:customStyle="1" w:styleId="Small">
    <w:name w:val="Small"/>
    <w:basedOn w:val="DefaultParagraphFont"/>
    <w:rsid w:val="00E667B4"/>
    <w:rPr>
      <w:sz w:val="16"/>
    </w:rPr>
  </w:style>
  <w:style w:type="paragraph" w:customStyle="1" w:styleId="WideTable">
    <w:name w:val="Wide Table"/>
    <w:basedOn w:val="Normal"/>
    <w:rsid w:val="00E667B4"/>
    <w:pPr>
      <w:ind w:left="-1418"/>
    </w:pPr>
    <w:rPr>
      <w:sz w:val="2"/>
      <w:szCs w:val="2"/>
    </w:rPr>
  </w:style>
  <w:style w:type="character" w:styleId="PageNumber">
    <w:name w:val="page number"/>
    <w:basedOn w:val="DefaultParagraphFont"/>
    <w:rsid w:val="00E667B4"/>
  </w:style>
  <w:style w:type="paragraph" w:styleId="Quote">
    <w:name w:val="Quote"/>
    <w:basedOn w:val="Heading1"/>
    <w:link w:val="QuoteChar"/>
    <w:qFormat/>
    <w:rsid w:val="00E667B4"/>
    <w:rPr>
      <w:b w:val="0"/>
      <w:sz w:val="72"/>
      <w:szCs w:val="72"/>
      <w:lang w:val="en-NZ"/>
    </w:rPr>
  </w:style>
  <w:style w:type="character" w:customStyle="1" w:styleId="QuoteChar">
    <w:name w:val="Quote Char"/>
    <w:basedOn w:val="DefaultParagraphFont"/>
    <w:link w:val="Quote"/>
    <w:rsid w:val="00E66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7B4"/>
    <w:pPr>
      <w:pageBreakBefore/>
    </w:pPr>
  </w:style>
  <w:style w:type="paragraph" w:customStyle="1" w:styleId="Border">
    <w:name w:val="Border"/>
    <w:basedOn w:val="Normal"/>
    <w:qFormat/>
    <w:rsid w:val="00E66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7B4"/>
    <w:rPr>
      <w:b/>
      <w:bCs/>
      <w:i/>
      <w:iCs/>
      <w:color w:val="auto"/>
    </w:rPr>
  </w:style>
  <w:style w:type="paragraph" w:styleId="IntenseQuote">
    <w:name w:val="Intense Quote"/>
    <w:basedOn w:val="Normal"/>
    <w:next w:val="Normal"/>
    <w:link w:val="IntenseQuoteChar"/>
    <w:uiPriority w:val="30"/>
    <w:qFormat/>
    <w:rsid w:val="00E66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7B4"/>
    <w:rPr>
      <w:smallCaps/>
      <w:color w:val="auto"/>
      <w:u w:val="single"/>
    </w:rPr>
  </w:style>
  <w:style w:type="character" w:styleId="IntenseReference">
    <w:name w:val="Intense Reference"/>
    <w:basedOn w:val="DefaultParagraphFont"/>
    <w:uiPriority w:val="32"/>
    <w:qFormat/>
    <w:rsid w:val="00E667B4"/>
    <w:rPr>
      <w:b/>
      <w:bCs/>
      <w:smallCaps/>
      <w:color w:val="auto"/>
      <w:spacing w:val="5"/>
      <w:u w:val="single"/>
    </w:rPr>
  </w:style>
  <w:style w:type="paragraph" w:customStyle="1" w:styleId="2ColumnHeading">
    <w:name w:val="2Column Heading"/>
    <w:basedOn w:val="BodyText"/>
    <w:qFormat/>
    <w:rsid w:val="00E667B4"/>
    <w:pPr>
      <w:spacing w:after="60"/>
      <w:ind w:left="-2268"/>
    </w:pPr>
    <w:rPr>
      <w:b/>
    </w:rPr>
  </w:style>
  <w:style w:type="paragraph" w:customStyle="1" w:styleId="Heading1TOC">
    <w:name w:val="Heading1 TOC"/>
    <w:basedOn w:val="Normal"/>
    <w:qFormat/>
    <w:rsid w:val="00E667B4"/>
    <w:pPr>
      <w:spacing w:before="240" w:after="120"/>
    </w:pPr>
    <w:rPr>
      <w:rFonts w:ascii="Times New Roman" w:hAnsi="Times New Roman"/>
      <w:b/>
      <w:sz w:val="32"/>
    </w:rPr>
  </w:style>
  <w:style w:type="paragraph" w:customStyle="1" w:styleId="Heading2TOC">
    <w:name w:val="Heading2 TOC"/>
    <w:basedOn w:val="Normal"/>
    <w:qFormat/>
    <w:rsid w:val="00E667B4"/>
    <w:pPr>
      <w:spacing w:before="240" w:after="60"/>
    </w:pPr>
    <w:rPr>
      <w:rFonts w:ascii="Times New Roman" w:hAnsi="Times New Roman"/>
      <w:b/>
      <w:sz w:val="28"/>
    </w:rPr>
  </w:style>
  <w:style w:type="character" w:customStyle="1" w:styleId="Underline">
    <w:name w:val="Underline"/>
    <w:basedOn w:val="DefaultParagraphFont"/>
    <w:qFormat/>
    <w:rsid w:val="00E667B4"/>
    <w:rPr>
      <w:u w:val="single"/>
    </w:rPr>
  </w:style>
  <w:style w:type="character" w:customStyle="1" w:styleId="BoldandItalics">
    <w:name w:val="Bold and Italics"/>
    <w:qFormat/>
    <w:rsid w:val="00E667B4"/>
    <w:rPr>
      <w:b/>
      <w:i/>
      <w:u w:val="none"/>
    </w:rPr>
  </w:style>
  <w:style w:type="paragraph" w:styleId="BalloonText">
    <w:name w:val="Balloon Text"/>
    <w:basedOn w:val="Normal"/>
    <w:link w:val="BalloonTextChar"/>
    <w:rsid w:val="00E667B4"/>
    <w:rPr>
      <w:rFonts w:ascii="Tahoma" w:hAnsi="Tahoma" w:cs="Tahoma"/>
      <w:sz w:val="16"/>
      <w:szCs w:val="16"/>
    </w:rPr>
  </w:style>
  <w:style w:type="character" w:customStyle="1" w:styleId="BalloonTextChar">
    <w:name w:val="Balloon Text Char"/>
    <w:basedOn w:val="DefaultParagraphFont"/>
    <w:link w:val="BalloonText"/>
    <w:rsid w:val="00E66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7B4"/>
    <w:rPr>
      <w:b/>
      <w:color w:val="660033"/>
      <w:spacing w:val="0"/>
    </w:rPr>
  </w:style>
  <w:style w:type="paragraph" w:customStyle="1" w:styleId="Nameditemlist">
    <w:name w:val="Named item list"/>
    <w:basedOn w:val="BodyText"/>
    <w:qFormat/>
    <w:rsid w:val="00E667B4"/>
    <w:pPr>
      <w:tabs>
        <w:tab w:val="left" w:pos="2835"/>
      </w:tabs>
      <w:ind w:left="2835" w:hanging="2835"/>
    </w:pPr>
  </w:style>
  <w:style w:type="paragraph" w:customStyle="1" w:styleId="BodyTextnopadding">
    <w:name w:val="Body Text no padding"/>
    <w:basedOn w:val="BodyText"/>
    <w:qFormat/>
    <w:rsid w:val="00E667B4"/>
    <w:pPr>
      <w:spacing w:before="0" w:after="0"/>
    </w:pPr>
  </w:style>
  <w:style w:type="paragraph" w:customStyle="1" w:styleId="BodyTextBold">
    <w:name w:val="Body Text Bold"/>
    <w:basedOn w:val="BodyText"/>
    <w:qFormat/>
    <w:rsid w:val="00E667B4"/>
    <w:rPr>
      <w:b/>
    </w:rPr>
  </w:style>
  <w:style w:type="character" w:styleId="Hyperlink">
    <w:name w:val="Hyperlink"/>
    <w:basedOn w:val="DefaultParagraphFont"/>
    <w:uiPriority w:val="99"/>
    <w:unhideWhenUsed/>
    <w:rsid w:val="00507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7886</Characters>
  <Application>Microsoft Office Word</Application>
  <DocSecurity>0</DocSecurity>
  <Lines>358</Lines>
  <Paragraphs>202</Paragraphs>
  <ScaleCrop>false</ScaleCrop>
  <Company>Author-it Software Corporation Ltd.</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MEM21007 Service complex quartz watches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