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37B" w:rsidP="0006037B">
      <w:pPr>
        <w:pStyle w:val="Title"/>
      </w:pPr>
      <w:r>
        <w:fldChar w:fldCharType="begin"/>
      </w:r>
      <w:r>
        <w:instrText xml:space="preserve"> TITLE   \* MERGEFORMAT </w:instrText>
      </w:r>
      <w:r>
        <w:fldChar w:fldCharType="separate"/>
      </w:r>
      <w:r>
        <w:t>MEM21006 Service quartz watches</w:t>
      </w:r>
      <w:r>
        <w:fldChar w:fldCharType="end"/>
      </w:r>
    </w:p>
    <w:p w:rsidR="0006037B" w:rsidP="0006037B">
      <w:pPr>
        <w:pStyle w:val="Version"/>
        <w:sectPr w:rsidSect="00D47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528" w:rsidP="00D47528">
      <w:pPr>
        <w:pStyle w:val="SuperHeading"/>
      </w:pPr>
      <w:r w:rsidRPr="00D47528">
        <w:t>MEM21006 Service quartz watches</w:t>
      </w:r>
    </w:p>
    <w:p w:rsidR="00000000" w:rsidRPr="00D47528" w:rsidP="00D47528">
      <w:pPr>
        <w:pStyle w:val="Heading1"/>
      </w:pPr>
      <w:bookmarkStart w:id="1" w:name="O_951217"/>
      <w:bookmarkEnd w:id="1"/>
      <w:r w:rsidRPr="00D47528">
        <w:t>Modification History</w:t>
      </w:r>
    </w:p>
    <w:p w:rsidR="00000000" w:rsidRPr="00D47528" w:rsidP="0006037B">
      <w:pPr>
        <w:pStyle w:val="BodyText"/>
      </w:pPr>
      <w:r w:rsidRPr="00D47528">
        <w:t xml:space="preserve">Release 1. Supersedes and is equivalent to MEM21006A Service quartz watches </w:t>
      </w:r>
    </w:p>
    <w:p w:rsidR="00000000" w:rsidRPr="00D47528" w:rsidP="00D47528">
      <w:pPr>
        <w:pStyle w:val="Heading1"/>
      </w:pPr>
      <w:bookmarkStart w:id="2" w:name="O_951225"/>
      <w:bookmarkEnd w:id="2"/>
      <w:r w:rsidRPr="00D47528">
        <w:t>Application</w:t>
      </w:r>
    </w:p>
    <w:p w:rsidR="00000000" w:rsidRPr="00D47528" w:rsidP="0006037B">
      <w:pPr>
        <w:pStyle w:val="BodyText"/>
      </w:pPr>
      <w:r w:rsidRPr="00D47528">
        <w:t>This unit of competency defines the skills and knowledge required to service quartz analog and digital display watches, including</w:t>
      </w:r>
      <w:r w:rsidRPr="00D47528">
        <w:t xml:space="preserve"> modules and case components.</w:t>
      </w:r>
    </w:p>
    <w:p w:rsidR="00000000" w:rsidRPr="00D47528" w:rsidP="0006037B">
      <w:pPr>
        <w:pStyle w:val="BodyText"/>
      </w:pPr>
      <w:r w:rsidRPr="00D47528">
        <w:t>This unit is a common servicing requirement for watch repairers and can extend, in some cases, to the work of service technicians.</w:t>
      </w:r>
    </w:p>
    <w:p w:rsidR="00000000" w:rsidRPr="00D47528" w:rsidP="0006037B">
      <w:pPr>
        <w:pStyle w:val="BodyText"/>
      </w:pPr>
      <w:r w:rsidRPr="00D47528">
        <w:t>No licensing, legislative or certification requirements apply to this unit at the time of pub</w:t>
      </w:r>
      <w:r w:rsidRPr="00D47528">
        <w:t>lication.</w:t>
      </w:r>
    </w:p>
    <w:p w:rsidR="00000000" w:rsidRPr="00D47528" w:rsidP="0006037B">
      <w:pPr>
        <w:pStyle w:val="Heading4"/>
      </w:pPr>
      <w:r w:rsidRPr="00D47528">
        <w:rPr>
          <w:rStyle w:val="SpecialBold"/>
        </w:rPr>
        <w:t>Band:  A</w:t>
      </w:r>
    </w:p>
    <w:p w:rsidR="00000000" w:rsidRPr="00D47528" w:rsidP="0006037B">
      <w:pPr>
        <w:pStyle w:val="Heading4"/>
      </w:pPr>
      <w:r w:rsidRPr="00D47528">
        <w:rPr>
          <w:rStyle w:val="SpecialBold"/>
        </w:rPr>
        <w:t xml:space="preserve">Unit weight:  4 </w:t>
      </w:r>
    </w:p>
    <w:p w:rsidR="00000000" w:rsidRPr="00D47528" w:rsidP="00D47528">
      <w:pPr>
        <w:pStyle w:val="Heading1"/>
      </w:pPr>
      <w:bookmarkStart w:id="3" w:name="O_951224"/>
      <w:bookmarkEnd w:id="3"/>
      <w:r w:rsidRPr="00D47528">
        <w:t>Pre-requisite Unit</w:t>
      </w:r>
    </w:p>
    <w:tbl>
      <w:tblPr>
        <w:tblW w:w="0" w:type="auto"/>
        <w:tblLayout w:type="fixed"/>
        <w:tblCellMar>
          <w:left w:w="62" w:type="dxa"/>
          <w:right w:w="62" w:type="dxa"/>
        </w:tblCellMar>
        <w:tblLook w:val="0000"/>
      </w:tblPr>
      <w:tblGrid>
        <w:gridCol w:w="2186"/>
        <w:gridCol w:w="6886"/>
      </w:tblGrid>
      <w:tr w:rsidTr="00D4752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MEM13015</w:t>
            </w:r>
          </w:p>
        </w:tc>
        <w:tc>
          <w:tcPr>
            <w:tcW w:w="68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Work safely and effectively in manufacturing and engineering</w:t>
            </w:r>
          </w:p>
        </w:tc>
      </w:tr>
      <w:tr w:rsidTr="00D4752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MEM16006</w:t>
            </w:r>
          </w:p>
        </w:tc>
        <w:tc>
          <w:tcPr>
            <w:tcW w:w="68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Organise and communicate information</w:t>
            </w:r>
          </w:p>
        </w:tc>
      </w:tr>
      <w:tr w:rsidTr="00D4752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MEM21001</w:t>
            </w:r>
          </w:p>
        </w:tc>
        <w:tc>
          <w:tcPr>
            <w:tcW w:w="68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Replace watch batteries, capacitors and bands</w:t>
            </w:r>
          </w:p>
        </w:tc>
      </w:tr>
      <w:tr w:rsidTr="00D4752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MEM21002</w:t>
            </w:r>
          </w:p>
        </w:tc>
        <w:tc>
          <w:tcPr>
            <w:tcW w:w="68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Perform watch movement exchange</w:t>
            </w:r>
          </w:p>
        </w:tc>
      </w:tr>
      <w:tr w:rsidTr="00D4752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MEM21005</w:t>
            </w:r>
          </w:p>
        </w:tc>
        <w:tc>
          <w:tcPr>
            <w:tcW w:w="6886" w:type="dxa"/>
            <w:tcBorders>
              <w:top w:val="nil"/>
              <w:left w:val="nil"/>
              <w:bottom w:val="nil"/>
              <w:right w:val="nil"/>
            </w:tcBorders>
            <w:tcMar>
              <w:top w:w="0" w:type="dxa"/>
              <w:left w:w="62" w:type="dxa"/>
              <w:bottom w:w="0" w:type="dxa"/>
              <w:right w:w="62" w:type="dxa"/>
            </w:tcMar>
          </w:tcPr>
          <w:p w:rsidR="00000000" w:rsidRPr="00D47528" w:rsidP="00D47528">
            <w:pPr>
              <w:pStyle w:val="BodyText"/>
            </w:pPr>
            <w:r w:rsidRPr="00D47528">
              <w:t>Diagnose faults in quartz watches</w:t>
            </w:r>
          </w:p>
        </w:tc>
      </w:tr>
    </w:tbl>
    <w:p w:rsidR="00000000" w:rsidRPr="00D47528" w:rsidP="00D47528">
      <w:pPr>
        <w:pStyle w:val="BodyText"/>
      </w:pPr>
    </w:p>
    <w:p w:rsidR="00000000" w:rsidRPr="00D47528" w:rsidP="00D47528">
      <w:pPr>
        <w:pStyle w:val="AllowPageBreak"/>
      </w:pPr>
    </w:p>
    <w:p w:rsidR="00000000" w:rsidRPr="00D47528" w:rsidP="00D47528">
      <w:pPr>
        <w:pStyle w:val="Heading1"/>
      </w:pPr>
      <w:bookmarkStart w:id="4" w:name="O_951223"/>
      <w:bookmarkEnd w:id="4"/>
      <w:r w:rsidRPr="00D47528">
        <w:t>Competency Field</w:t>
      </w:r>
    </w:p>
    <w:p w:rsidR="00000000" w:rsidRPr="00D47528" w:rsidP="0006037B">
      <w:pPr>
        <w:pStyle w:val="BodyText"/>
      </w:pPr>
      <w:r w:rsidRPr="00D47528">
        <w:t>Horology</w:t>
      </w:r>
    </w:p>
    <w:p w:rsidR="00000000" w:rsidRPr="00D47528" w:rsidP="00D47528">
      <w:pPr>
        <w:pStyle w:val="Heading1"/>
      </w:pPr>
      <w:bookmarkStart w:id="5" w:name="O_951221"/>
      <w:bookmarkEnd w:id="5"/>
      <w:r w:rsidRPr="00D4752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4752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Performance criteria describe the perform</w:t>
            </w:r>
            <w:r w:rsidRPr="00D47528">
              <w:t>ance needed to demonstrate achievement of the element.</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47528" w:rsidP="00D47528">
            <w:pPr>
              <w:pStyle w:val="BodyText"/>
            </w:pPr>
            <w:r w:rsidRPr="00D47528">
              <w:t>1</w:t>
            </w:r>
          </w:p>
        </w:tc>
        <w:tc>
          <w:tcPr>
            <w:tcW w:w="1986" w:type="dxa"/>
            <w:vMerge w:val="restart"/>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Determine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1.1</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Follow standard operating procedures (SOPs)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1.2</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Comply with work health and safety (WHS) requirements at all times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1.3</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Identify watch functions and features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1.4</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Prepare written quotation and inform customer of watch condition and performance concerns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1.5</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Outline recommended service procedures to be undertaken to remedy identified faults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1.6</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Verify and agree on ser</w:t>
            </w:r>
            <w:r w:rsidRPr="00D47528">
              <w:t>vicing requirements with customer</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1.7</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Prepare watch for handover</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1.8</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Record and document repair process</w:t>
            </w:r>
          </w:p>
        </w:tc>
      </w:tr>
      <w:tr w:rsidTr="00D4752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47528">
            <w:pPr>
              <w:pStyle w:val="BodyText"/>
              <w:rPr>
                <w:lang w:val="en-NZ"/>
              </w:rPr>
            </w:pP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47528" w:rsidP="00D47528">
            <w:pPr>
              <w:pStyle w:val="BodyText"/>
            </w:pPr>
            <w:r w:rsidRPr="00D47528">
              <w:t>2</w:t>
            </w:r>
          </w:p>
        </w:tc>
        <w:tc>
          <w:tcPr>
            <w:tcW w:w="1986" w:type="dxa"/>
            <w:vMerge w:val="restart"/>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Disassemble watch case and movement components for servicing</w:t>
            </w: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2.1</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Establish appropriate working environment</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2.2</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Select and use appropriate personal protective equipment (PPE) in accordance with SOPs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2.3</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 xml:space="preserve">Select and use appropriate workshop tools and equipment </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2.4</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Open and close watch cases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2.5</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Remove case movement and components without damaging or marking</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2.6</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Verify gasket condition and replace, as required</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2.7</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Clean cases and bands, as required</w:t>
            </w:r>
          </w:p>
        </w:tc>
      </w:tr>
      <w:tr w:rsidTr="00D4752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47528">
            <w:pPr>
              <w:pStyle w:val="BodyText"/>
              <w:rPr>
                <w:lang w:val="en-NZ"/>
              </w:rPr>
            </w:pP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47528" w:rsidP="00D47528">
            <w:pPr>
              <w:pStyle w:val="BodyText"/>
            </w:pPr>
            <w:r w:rsidRPr="00D47528">
              <w:t>3</w:t>
            </w:r>
          </w:p>
        </w:tc>
        <w:tc>
          <w:tcPr>
            <w:tcW w:w="1986" w:type="dxa"/>
            <w:vMerge w:val="restart"/>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 xml:space="preserve">Service watch case and movement </w:t>
            </w:r>
            <w:r w:rsidRPr="00D47528">
              <w:rPr>
                <w:rStyle w:val="SpecialBold"/>
              </w:rPr>
              <w:t>components</w:t>
            </w: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3.1</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 xml:space="preserve">Inspect condition of watch case and movement components </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3.2</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Confirm servicing requirements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3.3</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 xml:space="preserve">Replace faulty or worn component parts </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3.4</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Clean components and parts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3.5</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Inspect watch case and movement components for cleanliness and rectify imperfections/faults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3.6</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Use correct tools and equipment for handling and servicing</w:t>
            </w:r>
          </w:p>
        </w:tc>
      </w:tr>
      <w:tr w:rsidTr="00D4752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47528">
            <w:pPr>
              <w:pStyle w:val="BodyText"/>
              <w:rPr>
                <w:lang w:val="en-NZ"/>
              </w:rPr>
            </w:pP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47528" w:rsidP="00D47528">
            <w:pPr>
              <w:pStyle w:val="BodyText"/>
            </w:pPr>
            <w:r w:rsidRPr="00D47528">
              <w:t>4</w:t>
            </w:r>
          </w:p>
        </w:tc>
        <w:tc>
          <w:tcPr>
            <w:tcW w:w="1986" w:type="dxa"/>
            <w:vMerge w:val="restart"/>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Reassemble and test watch case and movement components</w:t>
            </w: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4.1</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Reassemble watch case and movement components according to manufacturer specifications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4.2</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Confirm correct assembly of gear train and other components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4.3</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Use correct types and amounts of lubricant according to manufacturer specifications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4.4</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Use tools and equipment appropriately taking precautions for correct reassembly</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4.5</w:t>
            </w:r>
          </w:p>
        </w:tc>
        <w:tc>
          <w:tcPr>
            <w:tcW w:w="5678"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Verify/confirm watch functioning according to manufacturer specifications</w:t>
            </w:r>
          </w:p>
        </w:tc>
      </w:tr>
      <w:tr w:rsidTr="00D4752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4</w:t>
            </w:r>
            <w:r w:rsidRPr="00D47528">
              <w:t>.6</w:t>
            </w:r>
          </w:p>
        </w:tc>
        <w:tc>
          <w:tcPr>
            <w:tcW w:w="5678" w:type="dxa"/>
            <w:tcBorders>
              <w:top w:val="nil"/>
              <w:left w:val="nil"/>
              <w:bottom w:val="nil"/>
              <w:right w:val="nil"/>
            </w:tcBorders>
            <w:tcMar>
              <w:top w:w="0" w:type="dxa"/>
              <w:left w:w="62" w:type="dxa"/>
              <w:bottom w:w="0" w:type="dxa"/>
              <w:right w:w="62" w:type="dxa"/>
            </w:tcMar>
          </w:tcPr>
          <w:p w:rsidR="00000000" w:rsidRPr="00D47528" w:rsidP="00D47528">
            <w:pPr>
              <w:pStyle w:val="BodyText"/>
            </w:pPr>
            <w:r w:rsidRPr="00D47528">
              <w:t>Verify watch performance including rate testing and adjust according to manufacturer specifications, as required</w:t>
            </w:r>
          </w:p>
        </w:tc>
      </w:tr>
    </w:tbl>
    <w:p w:rsidR="00000000" w:rsidRPr="00D47528" w:rsidP="00D47528">
      <w:pPr>
        <w:pStyle w:val="BodyText"/>
      </w:pPr>
    </w:p>
    <w:p w:rsidR="00000000" w:rsidRPr="00D47528" w:rsidP="00D47528">
      <w:pPr>
        <w:pStyle w:val="AllowPageBreak"/>
      </w:pPr>
    </w:p>
    <w:p w:rsidR="00000000" w:rsidRPr="00D47528" w:rsidP="00D47528">
      <w:pPr>
        <w:pStyle w:val="Heading1"/>
      </w:pPr>
      <w:bookmarkStart w:id="6" w:name="O_951220"/>
      <w:bookmarkEnd w:id="6"/>
      <w:r w:rsidRPr="00D47528">
        <w:t>Foundation Skills</w:t>
      </w:r>
    </w:p>
    <w:p w:rsidR="00000000" w:rsidRPr="00D47528" w:rsidP="0006037B">
      <w:pPr>
        <w:pStyle w:val="BodyText"/>
      </w:pPr>
      <w:r w:rsidRPr="00D47528">
        <w:t>This section describes those required skills (reading, writing, oral communication and numeracy) th</w:t>
      </w:r>
      <w:r w:rsidRPr="00D47528">
        <w:t xml:space="preserve">at are essential to workplace performance in this unit of competency.  </w:t>
      </w:r>
    </w:p>
    <w:p w:rsidR="00000000" w:rsidRPr="00D47528" w:rsidP="0006037B">
      <w:pPr>
        <w:pStyle w:val="BodyText"/>
      </w:pPr>
      <w:r w:rsidRPr="00D47528">
        <w:t>Foundation skills essential to performance are explicit in the performance criteria of this unit of competency.</w:t>
      </w:r>
    </w:p>
    <w:p w:rsidR="00000000" w:rsidRPr="00D47528" w:rsidP="00D47528">
      <w:pPr>
        <w:pStyle w:val="Heading1"/>
      </w:pPr>
      <w:bookmarkStart w:id="7" w:name="O_951219"/>
      <w:bookmarkEnd w:id="7"/>
      <w:r w:rsidRPr="00D47528">
        <w:t>Range of Conditions</w:t>
      </w:r>
    </w:p>
    <w:tbl>
      <w:tblPr>
        <w:tblW w:w="0" w:type="auto"/>
        <w:tblLayout w:type="fixed"/>
        <w:tblCellMar>
          <w:left w:w="62" w:type="dxa"/>
          <w:right w:w="62" w:type="dxa"/>
        </w:tblCellMar>
        <w:tblLook w:val="0000"/>
      </w:tblPr>
      <w:tblGrid>
        <w:gridCol w:w="2641"/>
        <w:gridCol w:w="6501"/>
      </w:tblGrid>
      <w:tr w:rsidTr="00D4752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t>This field allows for different wo</w:t>
            </w:r>
            <w:r w:rsidRPr="00D47528">
              <w:t>rk environments and conditions that may affect performance. Essential operating conditions that may be present (depending on the work situation, needs of the candidate, accessibility of the item, and local industry and regional contexts) are included.</w:t>
            </w:r>
          </w:p>
        </w:tc>
      </w:tr>
      <w:tr w:rsidTr="00D47528">
        <w:tblPrEx>
          <w:tblW w:w="0" w:type="auto"/>
          <w:tblLayout w:type="fixed"/>
          <w:tblCellMar>
            <w:left w:w="62" w:type="dxa"/>
            <w:right w:w="62" w:type="dxa"/>
          </w:tblCellMar>
          <w:tblLook w:val="0000"/>
        </w:tblPrEx>
        <w:trPr>
          <w:trHeight w:val="2804"/>
        </w:trPr>
        <w:tc>
          <w:tcPr>
            <w:tcW w:w="2641"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Wa</w:t>
            </w:r>
            <w:r w:rsidRPr="00D47528">
              <w:rPr>
                <w:rStyle w:val="SpecialBold"/>
              </w:rPr>
              <w:t>tch functions and features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47528" w:rsidP="00D47528">
            <w:pPr>
              <w:pStyle w:val="ListBullet"/>
            </w:pPr>
            <w:r w:rsidRPr="00D47528">
              <w:t>quartz oscillating stage</w:t>
            </w:r>
          </w:p>
          <w:p w:rsidR="00000000" w:rsidRPr="00D47528" w:rsidP="00D47528">
            <w:pPr>
              <w:pStyle w:val="ListBullet"/>
            </w:pPr>
            <w:r w:rsidRPr="00D47528">
              <w:t>dividing stage</w:t>
            </w:r>
          </w:p>
          <w:p w:rsidR="00000000" w:rsidRPr="00D47528" w:rsidP="00D47528">
            <w:pPr>
              <w:pStyle w:val="ListBullet"/>
            </w:pPr>
            <w:r w:rsidRPr="00D47528">
              <w:t xml:space="preserve">motor drive output pulses </w:t>
            </w:r>
          </w:p>
          <w:p w:rsidR="00000000" w:rsidRPr="00D47528" w:rsidP="00D47528">
            <w:pPr>
              <w:pStyle w:val="ListBullet"/>
            </w:pPr>
            <w:r w:rsidRPr="00D47528">
              <w:t>capacitive output signals</w:t>
            </w:r>
          </w:p>
          <w:p w:rsidR="00000000" w:rsidRPr="00D47528" w:rsidP="00D47528">
            <w:pPr>
              <w:pStyle w:val="ListBullet"/>
            </w:pPr>
            <w:r w:rsidRPr="00D47528">
              <w:t>current consumption</w:t>
            </w:r>
          </w:p>
          <w:p w:rsidR="00000000" w:rsidRPr="00D47528" w:rsidP="00D47528">
            <w:pPr>
              <w:pStyle w:val="ListBullet"/>
            </w:pPr>
            <w:r w:rsidRPr="00D47528">
              <w:t>pulse generation</w:t>
            </w:r>
          </w:p>
          <w:p w:rsidR="00000000" w:rsidRPr="00D47528" w:rsidP="00D47528">
            <w:pPr>
              <w:pStyle w:val="ListBullet"/>
            </w:pPr>
            <w:r w:rsidRPr="00D47528">
              <w:t>lower working limit test</w:t>
            </w:r>
          </w:p>
          <w:p w:rsidR="00000000" w:rsidP="00D47528">
            <w:pPr>
              <w:pStyle w:val="ListBullet"/>
              <w:rPr>
                <w:lang w:val="en-NZ"/>
              </w:rPr>
            </w:pPr>
            <w:r w:rsidRPr="00D47528">
              <w:t>gear train freedom</w:t>
            </w:r>
          </w:p>
        </w:tc>
      </w:tr>
      <w:tr w:rsidTr="00D47528">
        <w:tblPrEx>
          <w:tblW w:w="0" w:type="auto"/>
          <w:tblLayout w:type="fixed"/>
          <w:tblCellMar>
            <w:left w:w="62" w:type="dxa"/>
            <w:right w:w="62" w:type="dxa"/>
          </w:tblCellMar>
          <w:tblLook w:val="0000"/>
        </w:tblPrEx>
        <w:trPr>
          <w:trHeight w:val="1232"/>
        </w:trPr>
        <w:tc>
          <w:tcPr>
            <w:tcW w:w="2641"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Record and document repair process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47528" w:rsidP="00D47528">
            <w:pPr>
              <w:pStyle w:val="ListBullet"/>
            </w:pPr>
            <w:r w:rsidRPr="00D47528">
              <w:t xml:space="preserve">extent and date of repair </w:t>
            </w:r>
          </w:p>
          <w:p w:rsidR="00000000" w:rsidRPr="00D47528" w:rsidP="00D47528">
            <w:pPr>
              <w:pStyle w:val="ListBullet"/>
            </w:pPr>
            <w:r w:rsidRPr="00D47528">
              <w:t>cost of replacement part</w:t>
            </w:r>
          </w:p>
          <w:p w:rsidR="00000000" w:rsidP="00D47528">
            <w:pPr>
              <w:pStyle w:val="ListBullet"/>
              <w:rPr>
                <w:lang w:val="en-NZ"/>
              </w:rPr>
            </w:pPr>
            <w:r w:rsidRPr="00D47528">
              <w:t xml:space="preserve">time spent on procedure </w:t>
            </w:r>
          </w:p>
        </w:tc>
      </w:tr>
      <w:tr w:rsidTr="00D47528">
        <w:tblPrEx>
          <w:tblW w:w="0" w:type="auto"/>
          <w:tblLayout w:type="fixed"/>
          <w:tblCellMar>
            <w:left w:w="62" w:type="dxa"/>
            <w:right w:w="62" w:type="dxa"/>
          </w:tblCellMar>
          <w:tblLook w:val="0000"/>
        </w:tblPrEx>
        <w:trPr>
          <w:trHeight w:val="1628"/>
        </w:trPr>
        <w:tc>
          <w:tcPr>
            <w:tcW w:w="2641"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 xml:space="preserve">Appropriate working environment includes the following: </w:t>
            </w:r>
          </w:p>
        </w:tc>
        <w:tc>
          <w:tcPr>
            <w:tcW w:w="6501" w:type="dxa"/>
            <w:tcBorders>
              <w:top w:val="nil"/>
              <w:left w:val="nil"/>
              <w:bottom w:val="nil"/>
              <w:right w:val="nil"/>
            </w:tcBorders>
            <w:tcMar>
              <w:top w:w="0" w:type="dxa"/>
              <w:left w:w="62" w:type="dxa"/>
              <w:bottom w:w="0" w:type="dxa"/>
              <w:right w:w="62" w:type="dxa"/>
            </w:tcMar>
          </w:tcPr>
          <w:p w:rsidR="00000000" w:rsidRPr="00D47528" w:rsidP="00D47528">
            <w:pPr>
              <w:pStyle w:val="ListBullet"/>
            </w:pPr>
            <w:r w:rsidRPr="00D47528">
              <w:t>suitable watchmakers</w:t>
            </w:r>
            <w:r>
              <w:t>’</w:t>
            </w:r>
            <w:r w:rsidRPr="00D47528">
              <w:t xml:space="preserve"> bench </w:t>
            </w:r>
          </w:p>
          <w:p w:rsidR="00000000" w:rsidRPr="00D47528" w:rsidP="00D47528">
            <w:pPr>
              <w:pStyle w:val="ListBullet"/>
            </w:pPr>
            <w:r w:rsidRPr="00D47528">
              <w:t>clean and orderly work area (precautions taken to minimise dust)</w:t>
            </w:r>
          </w:p>
          <w:p w:rsidR="00000000" w:rsidRPr="00D47528" w:rsidP="00D47528">
            <w:pPr>
              <w:pStyle w:val="ListBullet"/>
            </w:pPr>
            <w:r w:rsidRPr="00D47528">
              <w:t>adequate lighting and ventilation</w:t>
            </w:r>
          </w:p>
          <w:p w:rsidR="00000000" w:rsidP="00D47528">
            <w:pPr>
              <w:pStyle w:val="ListBullet"/>
              <w:rPr>
                <w:lang w:val="en-NZ"/>
              </w:rPr>
            </w:pPr>
            <w:r w:rsidRPr="00D47528">
              <w:t>ergonomic chair with adjustable height</w:t>
            </w:r>
          </w:p>
        </w:tc>
      </w:tr>
      <w:tr w:rsidTr="00D47528">
        <w:tblPrEx>
          <w:tblW w:w="0" w:type="auto"/>
          <w:tblLayout w:type="fixed"/>
          <w:tblCellMar>
            <w:left w:w="62" w:type="dxa"/>
            <w:right w:w="62" w:type="dxa"/>
          </w:tblCellMar>
          <w:tblLook w:val="0000"/>
        </w:tblPrEx>
        <w:trPr>
          <w:trHeight w:val="3147"/>
        </w:trPr>
        <w:tc>
          <w:tcPr>
            <w:tcW w:w="2641"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Workshop 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47528" w:rsidP="00D47528">
            <w:pPr>
              <w:pStyle w:val="ListBullet"/>
            </w:pPr>
            <w:r w:rsidRPr="00D47528">
              <w:t>timing machine</w:t>
            </w:r>
          </w:p>
          <w:p w:rsidR="00000000" w:rsidRPr="00D47528" w:rsidP="00D47528">
            <w:pPr>
              <w:pStyle w:val="ListBullet"/>
            </w:pPr>
            <w:r w:rsidRPr="00D47528">
              <w:t>multimeter</w:t>
            </w:r>
          </w:p>
          <w:p w:rsidR="00000000" w:rsidRPr="00D47528" w:rsidP="00D47528">
            <w:pPr>
              <w:pStyle w:val="ListBullet"/>
            </w:pPr>
            <w:r w:rsidRPr="00D47528">
              <w:t>pulse generator</w:t>
            </w:r>
          </w:p>
          <w:p w:rsidR="00000000" w:rsidRPr="00D47528" w:rsidP="00D47528">
            <w:pPr>
              <w:pStyle w:val="ListBullet"/>
            </w:pPr>
            <w:r w:rsidRPr="00D47528">
              <w:t>watch repair hand tools</w:t>
            </w:r>
          </w:p>
          <w:p w:rsidR="00000000" w:rsidRPr="00D47528" w:rsidP="00D47528">
            <w:pPr>
              <w:pStyle w:val="ListBullet"/>
            </w:pPr>
            <w:r w:rsidRPr="00D47528">
              <w:t>case opening and closing tools</w:t>
            </w:r>
          </w:p>
          <w:p w:rsidR="00000000" w:rsidRPr="00D47528" w:rsidP="00D47528">
            <w:pPr>
              <w:pStyle w:val="ListBullet"/>
            </w:pPr>
            <w:r w:rsidRPr="00D47528">
              <w:t>cleaning media</w:t>
            </w:r>
          </w:p>
          <w:p w:rsidR="00000000" w:rsidRPr="00D47528" w:rsidP="00D47528">
            <w:pPr>
              <w:pStyle w:val="ListBullet"/>
            </w:pPr>
            <w:r w:rsidRPr="00D47528">
              <w:t xml:space="preserve">cleaning machines </w:t>
            </w:r>
          </w:p>
          <w:p w:rsidR="00000000" w:rsidRPr="00D47528" w:rsidP="00D47528">
            <w:pPr>
              <w:pStyle w:val="ListBullet"/>
            </w:pPr>
            <w:r w:rsidRPr="00D47528">
              <w:t>lubricants</w:t>
            </w:r>
          </w:p>
          <w:p w:rsidR="00000000" w:rsidP="00D47528">
            <w:pPr>
              <w:pStyle w:val="ListBullet"/>
              <w:rPr>
                <w:lang w:val="en-NZ"/>
              </w:rPr>
            </w:pPr>
            <w:r w:rsidRPr="00D47528">
              <w:t>PPE</w:t>
            </w:r>
          </w:p>
        </w:tc>
      </w:tr>
      <w:tr w:rsidTr="00D47528">
        <w:tblPrEx>
          <w:tblW w:w="0" w:type="auto"/>
          <w:tblLayout w:type="fixed"/>
          <w:tblCellMar>
            <w:left w:w="62" w:type="dxa"/>
            <w:right w:w="62" w:type="dxa"/>
          </w:tblCellMar>
          <w:tblLook w:val="0000"/>
        </w:tblPrEx>
        <w:trPr>
          <w:trHeight w:val="3778"/>
        </w:trPr>
        <w:tc>
          <w:tcPr>
            <w:tcW w:w="2641"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Movement and case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47528" w:rsidP="00D47528">
            <w:pPr>
              <w:pStyle w:val="ListBullet"/>
            </w:pPr>
            <w:r w:rsidRPr="00D47528">
              <w:t>quartz crystal</w:t>
            </w:r>
          </w:p>
          <w:p w:rsidR="00000000" w:rsidRPr="00D47528" w:rsidP="00D47528">
            <w:pPr>
              <w:pStyle w:val="ListBullet"/>
            </w:pPr>
            <w:r w:rsidRPr="00D47528">
              <w:t>electronic circuits</w:t>
            </w:r>
          </w:p>
          <w:p w:rsidR="00000000" w:rsidRPr="00D47528" w:rsidP="00D47528">
            <w:pPr>
              <w:pStyle w:val="ListBullet"/>
            </w:pPr>
            <w:r w:rsidRPr="00D47528">
              <w:t>coils</w:t>
            </w:r>
          </w:p>
          <w:p w:rsidR="00000000" w:rsidRPr="00D47528" w:rsidP="00D47528">
            <w:pPr>
              <w:pStyle w:val="ListBullet"/>
            </w:pPr>
            <w:r w:rsidRPr="00D47528">
              <w:t>mechanical gear train</w:t>
            </w:r>
          </w:p>
          <w:p w:rsidR="00000000" w:rsidRPr="00D47528" w:rsidP="00D47528">
            <w:pPr>
              <w:pStyle w:val="ListBullet"/>
            </w:pPr>
            <w:r w:rsidRPr="00D47528">
              <w:t>liquid crystal d</w:t>
            </w:r>
            <w:r w:rsidRPr="00D47528">
              <w:t>isplays</w:t>
            </w:r>
          </w:p>
          <w:p w:rsidR="00000000" w:rsidRPr="00D47528" w:rsidP="00D47528">
            <w:pPr>
              <w:pStyle w:val="ListBullet"/>
            </w:pPr>
            <w:r w:rsidRPr="00D47528">
              <w:t>watch glasses</w:t>
            </w:r>
          </w:p>
          <w:p w:rsidR="00000000" w:rsidRPr="00D47528" w:rsidP="00D47528">
            <w:pPr>
              <w:pStyle w:val="ListBullet"/>
            </w:pPr>
            <w:r w:rsidRPr="00D47528">
              <w:t>case back</w:t>
            </w:r>
          </w:p>
          <w:p w:rsidR="00000000" w:rsidRPr="00D47528" w:rsidP="00D47528">
            <w:pPr>
              <w:pStyle w:val="ListBullet"/>
            </w:pPr>
            <w:r w:rsidRPr="00D47528">
              <w:t>bezel (rotating)</w:t>
            </w:r>
          </w:p>
          <w:p w:rsidR="00000000" w:rsidRPr="00D47528" w:rsidP="00D47528">
            <w:pPr>
              <w:pStyle w:val="ListBullet"/>
            </w:pPr>
            <w:r w:rsidRPr="00D47528">
              <w:t>crown</w:t>
            </w:r>
          </w:p>
          <w:p w:rsidR="00000000" w:rsidRPr="00D47528" w:rsidP="00D47528">
            <w:pPr>
              <w:pStyle w:val="ListBullet"/>
            </w:pPr>
            <w:r w:rsidRPr="00D47528">
              <w:t>pendant</w:t>
            </w:r>
          </w:p>
          <w:p w:rsidR="00000000" w:rsidP="00D47528">
            <w:pPr>
              <w:pStyle w:val="ListBullet"/>
              <w:rPr>
                <w:lang w:val="en-NZ"/>
              </w:rPr>
            </w:pPr>
            <w:r w:rsidRPr="00D47528">
              <w:t>pushbuttons</w:t>
            </w:r>
          </w:p>
        </w:tc>
      </w:tr>
      <w:tr w:rsidTr="00D47528">
        <w:tblPrEx>
          <w:tblW w:w="0" w:type="auto"/>
          <w:tblLayout w:type="fixed"/>
          <w:tblCellMar>
            <w:left w:w="62" w:type="dxa"/>
            <w:right w:w="62" w:type="dxa"/>
          </w:tblCellMar>
          <w:tblLook w:val="0000"/>
        </w:tblPrEx>
        <w:trPr>
          <w:trHeight w:val="3778"/>
        </w:trPr>
        <w:tc>
          <w:tcPr>
            <w:tcW w:w="2641" w:type="dxa"/>
            <w:tcBorders>
              <w:top w:val="nil"/>
              <w:left w:val="nil"/>
              <w:bottom w:val="nil"/>
              <w:right w:val="nil"/>
            </w:tcBorders>
            <w:tcMar>
              <w:top w:w="0" w:type="dxa"/>
              <w:left w:w="62" w:type="dxa"/>
              <w:bottom w:w="0" w:type="dxa"/>
              <w:right w:w="62" w:type="dxa"/>
            </w:tcMar>
          </w:tcPr>
          <w:p w:rsidR="00000000" w:rsidP="00D47528">
            <w:pPr>
              <w:pStyle w:val="BodyText"/>
              <w:rPr>
                <w:lang w:val="en-NZ"/>
              </w:rPr>
            </w:pPr>
            <w:r w:rsidRPr="00D47528">
              <w:rPr>
                <w:rStyle w:val="SpecialBold"/>
              </w:rPr>
              <w:t>Watch performance/rate testing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47528" w:rsidP="00D47528">
            <w:pPr>
              <w:pStyle w:val="ListBullet"/>
            </w:pPr>
            <w:r w:rsidRPr="00D47528">
              <w:t xml:space="preserve">current consumption according to manufacturer specifications </w:t>
            </w:r>
          </w:p>
          <w:p w:rsidR="00000000" w:rsidRPr="00D47528" w:rsidP="00D47528">
            <w:pPr>
              <w:pStyle w:val="ListBullet"/>
            </w:pPr>
            <w:r w:rsidRPr="00D47528">
              <w:t>rate testing (seconds/day)</w:t>
            </w:r>
          </w:p>
        </w:tc>
      </w:tr>
    </w:tbl>
    <w:p w:rsidR="00000000" w:rsidRPr="00D47528" w:rsidP="00D47528">
      <w:pPr>
        <w:pStyle w:val="BodyText"/>
      </w:pPr>
    </w:p>
    <w:p w:rsidR="00000000" w:rsidRPr="00D47528" w:rsidP="00D47528">
      <w:pPr>
        <w:pStyle w:val="AllowPageBreak"/>
      </w:pPr>
    </w:p>
    <w:p w:rsidR="00000000" w:rsidRPr="00D47528" w:rsidP="00D47528">
      <w:pPr>
        <w:pStyle w:val="Heading1"/>
      </w:pPr>
      <w:bookmarkStart w:id="8" w:name="O_951218"/>
      <w:bookmarkEnd w:id="8"/>
      <w:r w:rsidRPr="00D47528">
        <w:t>Unit Mapping Information</w:t>
      </w:r>
    </w:p>
    <w:p w:rsidR="00000000" w:rsidRPr="00D47528" w:rsidP="0006037B">
      <w:pPr>
        <w:pStyle w:val="BodyText"/>
      </w:pPr>
      <w:r w:rsidRPr="00D47528">
        <w:t xml:space="preserve">Release 1. Supersedes and is equivalent to MEM21006A Service quartz watches </w:t>
      </w:r>
    </w:p>
    <w:p w:rsidR="00000000" w:rsidRPr="00D47528" w:rsidP="00D47528">
      <w:pPr>
        <w:pStyle w:val="Heading1"/>
      </w:pPr>
      <w:bookmarkStart w:id="9" w:name="O_951211"/>
      <w:bookmarkEnd w:id="9"/>
      <w:r w:rsidRPr="00D47528">
        <w:t>Links</w:t>
      </w:r>
    </w:p>
    <w:p w:rsidR="00000000" w:rsidRPr="00D47528" w:rsidP="0006037B">
      <w:pPr>
        <w:pStyle w:val="BodyText"/>
      </w:pPr>
      <w:r w:rsidRPr="00D4752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65012">
        <w:rPr>
          <w:rStyle w:val="Hyperlink"/>
        </w:rPr>
        <w:t>https://vetnet.gov.au/Pages/TrainingDocs.aspx?q=b7050d37-5fd0-4740-8f7d-3b7a49c10bb2</w:t>
      </w:r>
      <w:r>
        <w:fldChar w:fldCharType="end"/>
      </w:r>
    </w:p>
    <w:p w:rsidR="00000000" w:rsidRPr="00D47528" w:rsidP="00D47528"/>
    <w:sectPr w:rsidSect="00D475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28" w:rsidRPr="0006037B" w:rsidP="00060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7B" w:rsidP="00D47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037B" w:rsidP="00D475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037B" w:rsidP="00D47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528" w:rsidRPr="0006037B" w:rsidP="00060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7B" w:rsidRPr="002D2AF8" w:rsidP="00D47528">
    <w:pPr>
      <w:pStyle w:val="Header"/>
      <w:framePr w:wrap="around"/>
    </w:pPr>
    <w:r>
      <w:fldChar w:fldCharType="begin"/>
    </w:r>
    <w:r>
      <w:instrText xml:space="preserve"> TITLE   \* MERGEFORMAT </w:instrText>
    </w:r>
    <w:r>
      <w:fldChar w:fldCharType="separate"/>
    </w:r>
    <w:r>
      <w:t>MEM21006 Service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6037B" w:rsidP="00D47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FC83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C4A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528"/>
    <w:pPr>
      <w:spacing w:before="360" w:after="60"/>
      <w:outlineLvl w:val="0"/>
    </w:pPr>
    <w:rPr>
      <w:sz w:val="32"/>
    </w:rPr>
  </w:style>
  <w:style w:type="paragraph" w:styleId="Heading2">
    <w:name w:val="heading 2"/>
    <w:basedOn w:val="HeadingBase"/>
    <w:next w:val="BodyText"/>
    <w:link w:val="Heading2Char"/>
    <w:qFormat/>
    <w:rsid w:val="00D47528"/>
    <w:pPr>
      <w:keepLines/>
      <w:spacing w:before="240" w:after="120"/>
      <w:outlineLvl w:val="1"/>
    </w:pPr>
    <w:rPr>
      <w:sz w:val="28"/>
      <w:szCs w:val="40"/>
    </w:rPr>
  </w:style>
  <w:style w:type="paragraph" w:styleId="Heading3">
    <w:name w:val="heading 3"/>
    <w:basedOn w:val="HeadingBase"/>
    <w:next w:val="BodyText"/>
    <w:link w:val="Heading3Char"/>
    <w:qFormat/>
    <w:rsid w:val="00D47528"/>
    <w:pPr>
      <w:spacing w:before="180" w:after="120"/>
      <w:outlineLvl w:val="2"/>
    </w:pPr>
    <w:rPr>
      <w:spacing w:val="-10"/>
      <w:kern w:val="32"/>
    </w:rPr>
  </w:style>
  <w:style w:type="paragraph" w:styleId="Heading4">
    <w:name w:val="heading 4"/>
    <w:basedOn w:val="HeadingBase"/>
    <w:next w:val="BodyText"/>
    <w:link w:val="Heading4Char"/>
    <w:qFormat/>
    <w:rsid w:val="00D47528"/>
    <w:pPr>
      <w:spacing w:before="160" w:after="120"/>
      <w:outlineLvl w:val="3"/>
    </w:pPr>
    <w:rPr>
      <w:sz w:val="22"/>
    </w:rPr>
  </w:style>
  <w:style w:type="paragraph" w:styleId="Heading5">
    <w:name w:val="heading 5"/>
    <w:basedOn w:val="HeadingBase"/>
    <w:next w:val="Normal"/>
    <w:link w:val="Heading5Char"/>
    <w:qFormat/>
    <w:rsid w:val="00D47528"/>
    <w:pPr>
      <w:spacing w:before="80"/>
      <w:outlineLvl w:val="4"/>
    </w:pPr>
    <w:rPr>
      <w:color w:val="918585"/>
      <w:sz w:val="20"/>
    </w:rPr>
  </w:style>
  <w:style w:type="paragraph" w:styleId="Heading6">
    <w:name w:val="heading 6"/>
    <w:basedOn w:val="HeadingBase"/>
    <w:next w:val="Normal"/>
    <w:link w:val="Heading6Char"/>
    <w:qFormat/>
    <w:rsid w:val="00D47528"/>
    <w:pPr>
      <w:spacing w:before="60"/>
      <w:outlineLvl w:val="5"/>
    </w:pPr>
    <w:rPr>
      <w:color w:val="918585"/>
      <w:sz w:val="20"/>
    </w:rPr>
  </w:style>
  <w:style w:type="paragraph" w:styleId="Heading7">
    <w:name w:val="heading 7"/>
    <w:basedOn w:val="Normal"/>
    <w:next w:val="Normal"/>
    <w:link w:val="Heading7Char"/>
    <w:qFormat/>
    <w:rsid w:val="00D47528"/>
    <w:pPr>
      <w:ind w:left="720"/>
      <w:outlineLvl w:val="6"/>
    </w:pPr>
    <w:rPr>
      <w:i/>
    </w:rPr>
  </w:style>
  <w:style w:type="paragraph" w:styleId="Heading8">
    <w:name w:val="heading 8"/>
    <w:basedOn w:val="Normal"/>
    <w:next w:val="Normal"/>
    <w:link w:val="Heading8Char"/>
    <w:qFormat/>
    <w:rsid w:val="00D47528"/>
    <w:pPr>
      <w:ind w:left="720"/>
      <w:outlineLvl w:val="7"/>
    </w:pPr>
    <w:rPr>
      <w:i/>
    </w:rPr>
  </w:style>
  <w:style w:type="paragraph" w:styleId="Heading9">
    <w:name w:val="heading 9"/>
    <w:basedOn w:val="Normal"/>
    <w:next w:val="Normal"/>
    <w:link w:val="Heading9Char"/>
    <w:qFormat/>
    <w:rsid w:val="00D47528"/>
    <w:pPr>
      <w:ind w:left="720"/>
      <w:outlineLvl w:val="8"/>
    </w:pPr>
    <w:rPr>
      <w:i/>
    </w:rPr>
  </w:style>
  <w:style w:type="character" w:default="1" w:styleId="DefaultParagraphFont">
    <w:name w:val="Default Paragraph Font"/>
    <w:uiPriority w:val="1"/>
    <w:unhideWhenUsed/>
    <w:rsid w:val="00D47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528"/>
  </w:style>
  <w:style w:type="character" w:customStyle="1" w:styleId="Heading1Char">
    <w:name w:val="Heading 1 Char"/>
    <w:basedOn w:val="DefaultParagraphFont"/>
    <w:link w:val="Heading1"/>
    <w:rsid w:val="00D47528"/>
    <w:rPr>
      <w:rFonts w:ascii="Times New Roman" w:eastAsia="Times New Roman" w:hAnsi="Times New Roman" w:cs="Times New Roman"/>
      <w:b/>
      <w:sz w:val="32"/>
      <w:szCs w:val="20"/>
      <w:lang w:eastAsia="en-US"/>
    </w:rPr>
  </w:style>
  <w:style w:type="paragraph" w:styleId="BodyText">
    <w:name w:val="Body Text"/>
    <w:basedOn w:val="Normal"/>
    <w:link w:val="BodyTextChar"/>
    <w:rsid w:val="00D47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528"/>
    <w:rPr>
      <w:rFonts w:ascii="Times New Roman" w:eastAsia="Times New Roman" w:hAnsi="Times New Roman" w:cs="Times New Roman"/>
      <w:sz w:val="24"/>
      <w:lang w:eastAsia="en-US"/>
    </w:rPr>
  </w:style>
  <w:style w:type="paragraph" w:styleId="ListBullet">
    <w:name w:val="List Bullet"/>
    <w:basedOn w:val="List"/>
    <w:rsid w:val="00D47528"/>
    <w:pPr>
      <w:numPr>
        <w:numId w:val="11"/>
      </w:numPr>
      <w:tabs>
        <w:tab w:val="clear" w:pos="340"/>
      </w:tabs>
      <w:spacing w:before="40" w:after="40"/>
    </w:pPr>
  </w:style>
  <w:style w:type="character" w:customStyle="1" w:styleId="SpecialBold">
    <w:name w:val="Special Bold"/>
    <w:basedOn w:val="DefaultParagraphFont"/>
    <w:rsid w:val="00D47528"/>
    <w:rPr>
      <w:b/>
      <w:spacing w:val="0"/>
    </w:rPr>
  </w:style>
  <w:style w:type="paragraph" w:customStyle="1" w:styleId="SuperHeading">
    <w:name w:val="SuperHeading"/>
    <w:basedOn w:val="Normal"/>
    <w:rsid w:val="00D47528"/>
    <w:pPr>
      <w:spacing w:before="240" w:after="120"/>
      <w:outlineLvl w:val="0"/>
    </w:pPr>
    <w:rPr>
      <w:rFonts w:ascii="Times New Roman" w:hAnsi="Times New Roman"/>
      <w:b/>
      <w:sz w:val="32"/>
    </w:rPr>
  </w:style>
  <w:style w:type="paragraph" w:customStyle="1" w:styleId="AllowPageBreak">
    <w:name w:val="AllowPageBreak"/>
    <w:rsid w:val="00D47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528"/>
    <w:rPr>
      <w:rFonts w:ascii="Courier New" w:eastAsia="Times New Roman" w:hAnsi="Courier New" w:cs="Times New Roman"/>
      <w:i/>
      <w:szCs w:val="20"/>
      <w:lang w:eastAsia="en-US"/>
    </w:rPr>
  </w:style>
  <w:style w:type="paragraph" w:customStyle="1" w:styleId="HeadingBase">
    <w:name w:val="Heading Base"/>
    <w:rsid w:val="00D47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528"/>
    <w:pPr>
      <w:tabs>
        <w:tab w:val="right" w:leader="dot" w:pos="9072"/>
      </w:tabs>
      <w:ind w:left="567"/>
    </w:pPr>
    <w:rPr>
      <w:szCs w:val="22"/>
    </w:rPr>
  </w:style>
  <w:style w:type="paragraph" w:customStyle="1" w:styleId="TOCBase">
    <w:name w:val="TOC Base"/>
    <w:rsid w:val="00D47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528"/>
    <w:pPr>
      <w:tabs>
        <w:tab w:val="right" w:leader="dot" w:pos="9072"/>
      </w:tabs>
      <w:spacing w:before="40" w:after="40"/>
      <w:ind w:left="284"/>
    </w:pPr>
    <w:rPr>
      <w:rFonts w:ascii="Times New Roman" w:hAnsi="Times New Roman"/>
    </w:rPr>
  </w:style>
  <w:style w:type="paragraph" w:styleId="TOC1">
    <w:name w:val="toc 1"/>
    <w:basedOn w:val="TOCBase"/>
    <w:next w:val="Normal"/>
    <w:rsid w:val="00D47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528"/>
    <w:rPr>
      <w:rFonts w:ascii="Times New Roman" w:eastAsia="Times New Roman" w:hAnsi="Times New Roman" w:cs="Times New Roman"/>
      <w:sz w:val="16"/>
      <w:lang w:eastAsia="en-US"/>
    </w:rPr>
  </w:style>
  <w:style w:type="paragraph" w:styleId="Title">
    <w:name w:val="Title"/>
    <w:basedOn w:val="HeadingBase"/>
    <w:link w:val="TitleChar"/>
    <w:qFormat/>
    <w:rsid w:val="00D47528"/>
    <w:pPr>
      <w:spacing w:before="5040"/>
      <w:jc w:val="center"/>
    </w:pPr>
    <w:rPr>
      <w:sz w:val="48"/>
      <w:szCs w:val="72"/>
      <w:lang w:val="en-US"/>
    </w:rPr>
  </w:style>
  <w:style w:type="character" w:customStyle="1" w:styleId="TitleChar">
    <w:name w:val="Title Char"/>
    <w:basedOn w:val="DefaultParagraphFont"/>
    <w:link w:val="Title"/>
    <w:rsid w:val="00D47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528"/>
    <w:pPr>
      <w:tabs>
        <w:tab w:val="left" w:pos="3600"/>
        <w:tab w:val="left" w:pos="3958"/>
      </w:tabs>
    </w:pPr>
  </w:style>
  <w:style w:type="paragraph" w:styleId="List">
    <w:name w:val="List"/>
    <w:basedOn w:val="BodyText"/>
    <w:next w:val="BodyText"/>
    <w:rsid w:val="00D47528"/>
    <w:pPr>
      <w:tabs>
        <w:tab w:val="left" w:pos="340"/>
      </w:tabs>
      <w:spacing w:before="60" w:after="60"/>
      <w:ind w:left="340" w:hanging="340"/>
    </w:pPr>
  </w:style>
  <w:style w:type="paragraph" w:customStyle="1" w:styleId="Note">
    <w:name w:val="Note"/>
    <w:basedOn w:val="BodyText"/>
    <w:rsid w:val="00D47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528"/>
    <w:pPr>
      <w:framePr w:wrap="auto" w:hAnchor="text" w:y="6049"/>
    </w:pPr>
    <w:rPr>
      <w:color w:val="000000"/>
      <w:sz w:val="40"/>
    </w:rPr>
  </w:style>
  <w:style w:type="paragraph" w:customStyle="1" w:styleId="TOCTitle">
    <w:name w:val="TOCTitle"/>
    <w:basedOn w:val="Heading1"/>
    <w:rsid w:val="00D47528"/>
    <w:pPr>
      <w:spacing w:after="240"/>
      <w:jc w:val="center"/>
      <w:outlineLvl w:val="9"/>
    </w:pPr>
    <w:rPr>
      <w:caps/>
    </w:rPr>
  </w:style>
  <w:style w:type="paragraph" w:customStyle="1" w:styleId="Version">
    <w:name w:val="Version"/>
    <w:rsid w:val="00D475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528"/>
    <w:pPr>
      <w:numPr>
        <w:numId w:val="12"/>
      </w:numPr>
      <w:tabs>
        <w:tab w:val="clear" w:pos="680"/>
      </w:tabs>
    </w:pPr>
  </w:style>
  <w:style w:type="paragraph" w:styleId="Index1">
    <w:name w:val="index 1"/>
    <w:basedOn w:val="Normal"/>
    <w:next w:val="Normal"/>
    <w:semiHidden/>
    <w:rsid w:val="00D47528"/>
    <w:pPr>
      <w:keepNext w:val="0"/>
      <w:tabs>
        <w:tab w:val="right" w:pos="4176"/>
      </w:tabs>
      <w:ind w:left="198" w:hanging="198"/>
    </w:pPr>
    <w:rPr>
      <w:rFonts w:ascii="Garamond" w:hAnsi="Garamond"/>
    </w:rPr>
  </w:style>
  <w:style w:type="paragraph" w:styleId="IndexHeading">
    <w:name w:val="index heading"/>
    <w:basedOn w:val="Normal"/>
    <w:next w:val="Index1"/>
    <w:semiHidden/>
    <w:rsid w:val="00D47528"/>
    <w:pPr>
      <w:spacing w:before="120" w:after="120"/>
    </w:pPr>
    <w:rPr>
      <w:rFonts w:ascii="Arial" w:hAnsi="Arial"/>
      <w:b/>
      <w:color w:val="918585"/>
      <w:sz w:val="24"/>
    </w:rPr>
  </w:style>
  <w:style w:type="paragraph" w:styleId="Header">
    <w:name w:val="header"/>
    <w:basedOn w:val="Normal"/>
    <w:link w:val="HeaderChar"/>
    <w:rsid w:val="00D47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528"/>
    <w:rPr>
      <w:rFonts w:ascii="Times New Roman" w:eastAsia="Times New Roman" w:hAnsi="Times New Roman" w:cs="Times New Roman"/>
      <w:sz w:val="16"/>
      <w:szCs w:val="20"/>
      <w:lang w:val="en-GB" w:eastAsia="en-US"/>
    </w:rPr>
  </w:style>
  <w:style w:type="paragraph" w:customStyle="1" w:styleId="Chapter">
    <w:name w:val="Chapter"/>
    <w:basedOn w:val="Normal"/>
    <w:rsid w:val="00D47528"/>
    <w:pPr>
      <w:spacing w:before="240"/>
    </w:pPr>
    <w:rPr>
      <w:rFonts w:ascii="Times New Roman" w:hAnsi="Times New Roman"/>
      <w:smallCaps/>
      <w:spacing w:val="80"/>
      <w:sz w:val="28"/>
    </w:rPr>
  </w:style>
  <w:style w:type="paragraph" w:customStyle="1" w:styleId="InChapter">
    <w:name w:val="InChapter"/>
    <w:basedOn w:val="Heading3"/>
    <w:rsid w:val="00D47528"/>
    <w:pPr>
      <w:spacing w:after="240"/>
      <w:outlineLvl w:val="9"/>
    </w:pPr>
    <w:rPr>
      <w:noProof/>
    </w:rPr>
  </w:style>
  <w:style w:type="paragraph" w:styleId="Index2">
    <w:name w:val="index 2"/>
    <w:basedOn w:val="Normal"/>
    <w:next w:val="Normal"/>
    <w:semiHidden/>
    <w:rsid w:val="00D47528"/>
    <w:pPr>
      <w:tabs>
        <w:tab w:val="right" w:pos="4176"/>
      </w:tabs>
      <w:ind w:left="568" w:hanging="284"/>
    </w:pPr>
    <w:rPr>
      <w:rFonts w:ascii="Garamond" w:hAnsi="Garamond"/>
    </w:rPr>
  </w:style>
  <w:style w:type="paragraph" w:customStyle="1" w:styleId="Byline">
    <w:name w:val="Byline"/>
    <w:rsid w:val="00D47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528"/>
    <w:pPr>
      <w:tabs>
        <w:tab w:val="clear" w:pos="3600"/>
        <w:tab w:val="clear" w:pos="3958"/>
      </w:tabs>
      <w:jc w:val="right"/>
    </w:pPr>
  </w:style>
  <w:style w:type="character" w:styleId="Emphasis">
    <w:name w:val="Emphasis"/>
    <w:basedOn w:val="DefaultParagraphFont"/>
    <w:qFormat/>
    <w:rsid w:val="00D47528"/>
    <w:rPr>
      <w:i/>
    </w:rPr>
  </w:style>
  <w:style w:type="paragraph" w:styleId="Caption">
    <w:name w:val="caption"/>
    <w:basedOn w:val="BodyText"/>
    <w:next w:val="Normal"/>
    <w:qFormat/>
    <w:rsid w:val="00D47528"/>
    <w:pPr>
      <w:framePr w:w="2268" w:hSpace="181" w:vSpace="181" w:wrap="around" w:vAnchor="text" w:hAnchor="page" w:x="1135" w:y="285" w:anchorLock="1"/>
    </w:pPr>
    <w:rPr>
      <w:i/>
    </w:rPr>
  </w:style>
  <w:style w:type="paragraph" w:customStyle="1" w:styleId="MiniTOCTitle">
    <w:name w:val="MiniTOCTitle"/>
    <w:basedOn w:val="Heading4"/>
    <w:rsid w:val="00D47528"/>
    <w:pPr>
      <w:spacing w:before="240"/>
      <w:outlineLvl w:val="9"/>
    </w:pPr>
    <w:rPr>
      <w:noProof/>
      <w:sz w:val="24"/>
    </w:rPr>
  </w:style>
  <w:style w:type="paragraph" w:customStyle="1" w:styleId="MiniTOCItem">
    <w:name w:val="MiniTOCItem"/>
    <w:basedOn w:val="ListBullet"/>
    <w:rsid w:val="00D47528"/>
    <w:pPr>
      <w:numPr>
        <w:numId w:val="0"/>
      </w:numPr>
      <w:tabs>
        <w:tab w:val="right" w:leader="dot" w:pos="6521"/>
      </w:tabs>
      <w:spacing w:before="0" w:after="0"/>
    </w:pPr>
  </w:style>
  <w:style w:type="paragraph" w:customStyle="1" w:styleId="TOFTitle">
    <w:name w:val="TOFTitle"/>
    <w:basedOn w:val="TOCTitle"/>
    <w:rsid w:val="00D47528"/>
  </w:style>
  <w:style w:type="paragraph" w:styleId="TableofFigures">
    <w:name w:val="table of figures"/>
    <w:basedOn w:val="Normal"/>
    <w:next w:val="Normal"/>
    <w:semiHidden/>
    <w:rsid w:val="00D47528"/>
    <w:pPr>
      <w:tabs>
        <w:tab w:val="right" w:leader="dot" w:pos="9072"/>
      </w:tabs>
      <w:ind w:left="970" w:hanging="403"/>
    </w:pPr>
    <w:rPr>
      <w:rFonts w:ascii="Times New Roman" w:hAnsi="Times New Roman"/>
      <w:b/>
    </w:rPr>
  </w:style>
  <w:style w:type="paragraph" w:styleId="ListNumber">
    <w:name w:val="List Number"/>
    <w:basedOn w:val="List"/>
    <w:rsid w:val="00D47528"/>
    <w:pPr>
      <w:numPr>
        <w:numId w:val="14"/>
      </w:numPr>
      <w:tabs>
        <w:tab w:val="clear" w:pos="340"/>
      </w:tabs>
    </w:pPr>
  </w:style>
  <w:style w:type="character" w:customStyle="1" w:styleId="WingdingSymbols">
    <w:name w:val="Wingding Symbols"/>
    <w:rsid w:val="00D47528"/>
    <w:rPr>
      <w:rFonts w:ascii="Wingdings" w:hAnsi="Wingdings"/>
    </w:rPr>
  </w:style>
  <w:style w:type="paragraph" w:customStyle="1" w:styleId="TableHeading">
    <w:name w:val="Table Heading"/>
    <w:basedOn w:val="HeadingBase"/>
    <w:rsid w:val="00D47528"/>
    <w:pPr>
      <w:keepLines/>
      <w:pBdr>
        <w:bottom w:val="single" w:sz="6" w:space="1" w:color="918585"/>
      </w:pBdr>
      <w:spacing w:before="240"/>
    </w:pPr>
  </w:style>
  <w:style w:type="character" w:customStyle="1" w:styleId="HotSpot">
    <w:name w:val="HotSpot"/>
    <w:rsid w:val="00D47528"/>
    <w:rPr>
      <w:color w:val="0033CC"/>
      <w:u w:val="none"/>
    </w:rPr>
  </w:style>
  <w:style w:type="paragraph" w:customStyle="1" w:styleId="BodyTextRight">
    <w:name w:val="Body Text Right"/>
    <w:basedOn w:val="BodyText"/>
    <w:rsid w:val="00D47528"/>
    <w:pPr>
      <w:spacing w:before="0" w:after="0"/>
      <w:jc w:val="right"/>
    </w:pPr>
  </w:style>
  <w:style w:type="paragraph" w:styleId="Index3">
    <w:name w:val="index 3"/>
    <w:basedOn w:val="ListNumber2"/>
    <w:next w:val="Normal"/>
    <w:semiHidden/>
    <w:rsid w:val="00D47528"/>
    <w:pPr>
      <w:numPr>
        <w:numId w:val="0"/>
      </w:numPr>
      <w:tabs>
        <w:tab w:val="right" w:leader="dot" w:pos="4176"/>
      </w:tabs>
    </w:pPr>
  </w:style>
  <w:style w:type="paragraph" w:styleId="ListNumber2">
    <w:name w:val="List Number 2"/>
    <w:basedOn w:val="List2"/>
    <w:rsid w:val="00D47528"/>
    <w:pPr>
      <w:numPr>
        <w:numId w:val="9"/>
      </w:numPr>
      <w:tabs>
        <w:tab w:val="clear" w:pos="1060"/>
      </w:tabs>
    </w:pPr>
  </w:style>
  <w:style w:type="paragraph" w:customStyle="1" w:styleId="MarginNote">
    <w:name w:val="Margin Note"/>
    <w:basedOn w:val="BodyText"/>
    <w:rsid w:val="00D47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528"/>
    <w:rPr>
      <w:sz w:val="32"/>
    </w:rPr>
  </w:style>
  <w:style w:type="paragraph" w:customStyle="1" w:styleId="HeadingProcedure">
    <w:name w:val="Heading Procedure"/>
    <w:basedOn w:val="HeadingBase"/>
    <w:next w:val="Normal"/>
    <w:rsid w:val="00D47528"/>
    <w:pPr>
      <w:tabs>
        <w:tab w:val="left" w:pos="0"/>
      </w:tabs>
      <w:spacing w:before="120" w:after="60"/>
    </w:pPr>
    <w:rPr>
      <w:i/>
      <w:color w:val="918585"/>
      <w:sz w:val="22"/>
    </w:rPr>
  </w:style>
  <w:style w:type="paragraph" w:customStyle="1" w:styleId="TableBodyText">
    <w:name w:val="Table Body Text"/>
    <w:basedOn w:val="BodyText"/>
    <w:rsid w:val="00D47528"/>
    <w:pPr>
      <w:spacing w:before="60" w:after="60"/>
    </w:pPr>
  </w:style>
  <w:style w:type="paragraph" w:styleId="ListContinue">
    <w:name w:val="List Continue"/>
    <w:basedOn w:val="List"/>
    <w:rsid w:val="00D47528"/>
    <w:pPr>
      <w:ind w:firstLine="0"/>
    </w:pPr>
  </w:style>
  <w:style w:type="paragraph" w:customStyle="1" w:styleId="ListNote">
    <w:name w:val="List Note"/>
    <w:basedOn w:val="List"/>
    <w:rsid w:val="00D47528"/>
    <w:pPr>
      <w:pBdr>
        <w:top w:val="single" w:sz="6" w:space="2" w:color="918585"/>
        <w:bottom w:val="single" w:sz="6" w:space="2" w:color="918585"/>
      </w:pBdr>
      <w:tabs>
        <w:tab w:val="left" w:pos="1021"/>
      </w:tabs>
      <w:ind w:firstLine="0"/>
    </w:pPr>
  </w:style>
  <w:style w:type="paragraph" w:customStyle="1" w:styleId="Warning">
    <w:name w:val="Warning"/>
    <w:basedOn w:val="BodyText"/>
    <w:rsid w:val="00D47528"/>
    <w:pPr>
      <w:shd w:val="clear" w:color="auto" w:fill="D9D9D9"/>
      <w:tabs>
        <w:tab w:val="left" w:pos="992"/>
      </w:tabs>
      <w:ind w:left="119" w:right="119"/>
    </w:pPr>
    <w:rPr>
      <w:sz w:val="20"/>
    </w:rPr>
  </w:style>
  <w:style w:type="paragraph" w:customStyle="1" w:styleId="MarginIcons">
    <w:name w:val="Margin Icons"/>
    <w:basedOn w:val="BodyText"/>
    <w:rsid w:val="00D47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528"/>
    <w:rPr>
      <w:rFonts w:ascii="Courier New" w:hAnsi="Courier New"/>
    </w:rPr>
  </w:style>
  <w:style w:type="paragraph" w:customStyle="1" w:styleId="NoteBullet">
    <w:name w:val="Note Bullet"/>
    <w:basedOn w:val="Note"/>
    <w:rsid w:val="00D47528"/>
    <w:pPr>
      <w:tabs>
        <w:tab w:val="clear" w:pos="680"/>
      </w:tabs>
      <w:spacing w:before="60" w:after="60"/>
    </w:pPr>
  </w:style>
  <w:style w:type="paragraph" w:customStyle="1" w:styleId="SubHeading2">
    <w:name w:val="SubHeading2"/>
    <w:basedOn w:val="HeadingBase"/>
    <w:rsid w:val="00D47528"/>
    <w:pPr>
      <w:spacing w:before="240" w:after="60"/>
    </w:pPr>
    <w:rPr>
      <w:sz w:val="20"/>
    </w:rPr>
  </w:style>
  <w:style w:type="paragraph" w:customStyle="1" w:styleId="SubHeading1">
    <w:name w:val="SubHeading1"/>
    <w:basedOn w:val="HeadingBase"/>
    <w:rsid w:val="00D47528"/>
    <w:pPr>
      <w:spacing w:before="240" w:after="60"/>
    </w:pPr>
    <w:rPr>
      <w:color w:val="918585"/>
      <w:sz w:val="22"/>
    </w:rPr>
  </w:style>
  <w:style w:type="paragraph" w:customStyle="1" w:styleId="SideHeading">
    <w:name w:val="Side Heading"/>
    <w:basedOn w:val="HeadingBase"/>
    <w:rsid w:val="00D47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528"/>
    <w:pPr>
      <w:numPr>
        <w:numId w:val="10"/>
      </w:numPr>
    </w:pPr>
  </w:style>
  <w:style w:type="paragraph" w:styleId="PlainText">
    <w:name w:val="Plain Text"/>
    <w:basedOn w:val="Normal"/>
    <w:link w:val="PlainTextChar"/>
    <w:rsid w:val="00D47528"/>
    <w:rPr>
      <w:sz w:val="20"/>
    </w:rPr>
  </w:style>
  <w:style w:type="character" w:customStyle="1" w:styleId="PlainTextChar">
    <w:name w:val="Plain Text Char"/>
    <w:basedOn w:val="DefaultParagraphFont"/>
    <w:link w:val="PlainText"/>
    <w:rsid w:val="00D47528"/>
    <w:rPr>
      <w:rFonts w:ascii="Courier New" w:eastAsia="Times New Roman" w:hAnsi="Courier New" w:cs="Times New Roman"/>
      <w:sz w:val="20"/>
      <w:szCs w:val="20"/>
      <w:lang w:eastAsia="en-US"/>
    </w:rPr>
  </w:style>
  <w:style w:type="character" w:customStyle="1" w:styleId="MenuOption">
    <w:name w:val="Menu Option"/>
    <w:basedOn w:val="DefaultParagraphFont"/>
    <w:rsid w:val="00D47528"/>
    <w:rPr>
      <w:b/>
      <w:smallCaps/>
    </w:rPr>
  </w:style>
  <w:style w:type="paragraph" w:customStyle="1" w:styleId="TableListNumber">
    <w:name w:val="Table List Number"/>
    <w:basedOn w:val="ListNumber"/>
    <w:rsid w:val="00D47528"/>
    <w:pPr>
      <w:numPr>
        <w:numId w:val="0"/>
      </w:numPr>
    </w:pPr>
  </w:style>
  <w:style w:type="paragraph" w:styleId="TOC4">
    <w:name w:val="toc 4"/>
    <w:basedOn w:val="TOCBase"/>
    <w:next w:val="Normal"/>
    <w:semiHidden/>
    <w:rsid w:val="00D47528"/>
    <w:pPr>
      <w:tabs>
        <w:tab w:val="right" w:leader="dot" w:pos="9071"/>
      </w:tabs>
      <w:ind w:left="1701"/>
    </w:pPr>
  </w:style>
  <w:style w:type="paragraph" w:customStyle="1" w:styleId="ListAlpha">
    <w:name w:val="List Alpha"/>
    <w:basedOn w:val="List"/>
    <w:rsid w:val="00D47528"/>
    <w:pPr>
      <w:numPr>
        <w:numId w:val="8"/>
      </w:numPr>
    </w:pPr>
  </w:style>
  <w:style w:type="paragraph" w:customStyle="1" w:styleId="ListAlpha2">
    <w:name w:val="List Alpha 2"/>
    <w:basedOn w:val="List2"/>
    <w:rsid w:val="00D47528"/>
    <w:pPr>
      <w:numPr>
        <w:numId w:val="7"/>
      </w:numPr>
    </w:pPr>
  </w:style>
  <w:style w:type="paragraph" w:styleId="List2">
    <w:name w:val="List 2"/>
    <w:basedOn w:val="BodyText"/>
    <w:rsid w:val="00D47528"/>
    <w:pPr>
      <w:tabs>
        <w:tab w:val="left" w:pos="680"/>
      </w:tabs>
      <w:spacing w:before="60" w:after="60"/>
      <w:ind w:left="680" w:hanging="340"/>
    </w:pPr>
  </w:style>
  <w:style w:type="paragraph" w:styleId="List3">
    <w:name w:val="List 3"/>
    <w:basedOn w:val="BodyText"/>
    <w:rsid w:val="00D47528"/>
    <w:pPr>
      <w:tabs>
        <w:tab w:val="left" w:pos="1021"/>
      </w:tabs>
      <w:spacing w:before="60" w:after="60"/>
      <w:ind w:left="1020" w:hanging="340"/>
    </w:pPr>
  </w:style>
  <w:style w:type="paragraph" w:styleId="List4">
    <w:name w:val="List 4"/>
    <w:basedOn w:val="BodyText"/>
    <w:rsid w:val="00D47528"/>
    <w:pPr>
      <w:tabs>
        <w:tab w:val="left" w:pos="1361"/>
      </w:tabs>
      <w:spacing w:before="60" w:after="60"/>
      <w:ind w:left="1361" w:hanging="340"/>
    </w:pPr>
  </w:style>
  <w:style w:type="paragraph" w:styleId="List5">
    <w:name w:val="List 5"/>
    <w:basedOn w:val="BodyText"/>
    <w:rsid w:val="00D47528"/>
    <w:pPr>
      <w:tabs>
        <w:tab w:val="left" w:pos="1701"/>
      </w:tabs>
      <w:spacing w:before="60" w:after="60"/>
      <w:ind w:left="1701" w:hanging="340"/>
    </w:pPr>
  </w:style>
  <w:style w:type="paragraph" w:styleId="ListBullet3">
    <w:name w:val="List Bullet 3"/>
    <w:basedOn w:val="List3"/>
    <w:rsid w:val="00D47528"/>
    <w:pPr>
      <w:numPr>
        <w:numId w:val="13"/>
      </w:numPr>
      <w:tabs>
        <w:tab w:val="clear" w:pos="1021"/>
      </w:tabs>
      <w:ind w:left="1037" w:hanging="357"/>
    </w:pPr>
  </w:style>
  <w:style w:type="paragraph" w:styleId="ListBullet4">
    <w:name w:val="List Bullet 4"/>
    <w:basedOn w:val="List4"/>
    <w:rsid w:val="00D47528"/>
    <w:pPr>
      <w:numPr>
        <w:numId w:val="2"/>
      </w:numPr>
      <w:tabs>
        <w:tab w:val="clear" w:pos="1361"/>
      </w:tabs>
    </w:pPr>
  </w:style>
  <w:style w:type="paragraph" w:styleId="ListBullet5">
    <w:name w:val="List Bullet 5"/>
    <w:basedOn w:val="List5"/>
    <w:rsid w:val="00D47528"/>
    <w:pPr>
      <w:numPr>
        <w:numId w:val="3"/>
      </w:numPr>
    </w:pPr>
  </w:style>
  <w:style w:type="paragraph" w:styleId="ListContinue2">
    <w:name w:val="List Continue 2"/>
    <w:basedOn w:val="List2"/>
    <w:rsid w:val="00D47528"/>
    <w:pPr>
      <w:ind w:firstLine="0"/>
    </w:pPr>
  </w:style>
  <w:style w:type="paragraph" w:styleId="ListContinue3">
    <w:name w:val="List Continue 3"/>
    <w:basedOn w:val="List3"/>
    <w:rsid w:val="00D47528"/>
    <w:pPr>
      <w:ind w:left="1021" w:firstLine="0"/>
    </w:pPr>
  </w:style>
  <w:style w:type="paragraph" w:styleId="ListContinue4">
    <w:name w:val="List Continue 4"/>
    <w:basedOn w:val="List4"/>
    <w:rsid w:val="00D47528"/>
    <w:pPr>
      <w:ind w:firstLine="0"/>
    </w:pPr>
  </w:style>
  <w:style w:type="paragraph" w:styleId="ListContinue5">
    <w:name w:val="List Continue 5"/>
    <w:basedOn w:val="List5"/>
    <w:rsid w:val="00D47528"/>
    <w:pPr>
      <w:ind w:firstLine="0"/>
    </w:pPr>
  </w:style>
  <w:style w:type="paragraph" w:styleId="ListNumber3">
    <w:name w:val="List Number 3"/>
    <w:basedOn w:val="List3"/>
    <w:rsid w:val="00D47528"/>
    <w:pPr>
      <w:numPr>
        <w:numId w:val="4"/>
      </w:numPr>
    </w:pPr>
  </w:style>
  <w:style w:type="paragraph" w:styleId="ListNumber4">
    <w:name w:val="List Number 4"/>
    <w:basedOn w:val="List4"/>
    <w:rsid w:val="00D47528"/>
    <w:pPr>
      <w:numPr>
        <w:numId w:val="5"/>
      </w:numPr>
    </w:pPr>
  </w:style>
  <w:style w:type="paragraph" w:styleId="ListNumber5">
    <w:name w:val="List Number 5"/>
    <w:basedOn w:val="List5"/>
    <w:rsid w:val="00D47528"/>
    <w:pPr>
      <w:numPr>
        <w:numId w:val="6"/>
      </w:numPr>
    </w:pPr>
  </w:style>
  <w:style w:type="paragraph" w:styleId="BlockText">
    <w:name w:val="Block Text"/>
    <w:basedOn w:val="Normal"/>
    <w:rsid w:val="00D47528"/>
    <w:pPr>
      <w:spacing w:after="120"/>
      <w:ind w:left="1440" w:right="1440"/>
    </w:pPr>
  </w:style>
  <w:style w:type="character" w:customStyle="1" w:styleId="Subscript">
    <w:name w:val="Subscript"/>
    <w:basedOn w:val="DefaultParagraphFont"/>
    <w:rsid w:val="00D47528"/>
    <w:rPr>
      <w:sz w:val="16"/>
      <w:vertAlign w:val="subscript"/>
    </w:rPr>
  </w:style>
  <w:style w:type="character" w:customStyle="1" w:styleId="Superscript">
    <w:name w:val="Superscript"/>
    <w:basedOn w:val="DefaultParagraphFont"/>
    <w:rsid w:val="00D47528"/>
    <w:rPr>
      <w:sz w:val="16"/>
      <w:vertAlign w:val="superscript"/>
    </w:rPr>
  </w:style>
  <w:style w:type="character" w:customStyle="1" w:styleId="Symbols">
    <w:name w:val="Symbols"/>
    <w:basedOn w:val="DefaultParagraphFont"/>
    <w:rsid w:val="00D47528"/>
    <w:rPr>
      <w:rFonts w:ascii="Symbol" w:hAnsi="Symbol"/>
    </w:rPr>
  </w:style>
  <w:style w:type="character" w:customStyle="1" w:styleId="MenuOptions">
    <w:name w:val="Menu Options"/>
    <w:basedOn w:val="DefaultParagraphFont"/>
    <w:rsid w:val="00D47528"/>
    <w:rPr>
      <w:rFonts w:ascii="Arial Narrow" w:hAnsi="Arial Narrow"/>
      <w:smallCaps/>
    </w:rPr>
  </w:style>
  <w:style w:type="character" w:customStyle="1" w:styleId="Buttons">
    <w:name w:val="Buttons"/>
    <w:basedOn w:val="DefaultParagraphFont"/>
    <w:rsid w:val="00D47528"/>
    <w:rPr>
      <w:b/>
    </w:rPr>
  </w:style>
  <w:style w:type="character" w:customStyle="1" w:styleId="Underlined">
    <w:name w:val="Underlined"/>
    <w:basedOn w:val="DefaultParagraphFont"/>
    <w:rsid w:val="00D47528"/>
    <w:rPr>
      <w:u w:val="single"/>
    </w:rPr>
  </w:style>
  <w:style w:type="paragraph" w:customStyle="1" w:styleId="TableBodyTextRight">
    <w:name w:val="Table Body Text Right"/>
    <w:basedOn w:val="TableBodyText"/>
    <w:rsid w:val="00D47528"/>
    <w:pPr>
      <w:widowControl w:val="0"/>
      <w:autoSpaceDE w:val="0"/>
      <w:autoSpaceDN w:val="0"/>
      <w:adjustRightInd w:val="0"/>
      <w:jc w:val="right"/>
    </w:pPr>
    <w:rPr>
      <w:rFonts w:cs="Arial"/>
      <w:szCs w:val="18"/>
    </w:rPr>
  </w:style>
  <w:style w:type="paragraph" w:customStyle="1" w:styleId="CopyrightText">
    <w:name w:val="Copyright Text"/>
    <w:basedOn w:val="BodyText"/>
    <w:rsid w:val="00D47528"/>
    <w:rPr>
      <w:sz w:val="18"/>
    </w:rPr>
  </w:style>
  <w:style w:type="paragraph" w:customStyle="1" w:styleId="BodySmallRight">
    <w:name w:val="Body Small Right"/>
    <w:basedOn w:val="BodyTextRight"/>
    <w:rsid w:val="00D47528"/>
    <w:rPr>
      <w:sz w:val="18"/>
      <w:szCs w:val="18"/>
    </w:rPr>
  </w:style>
  <w:style w:type="paragraph" w:customStyle="1" w:styleId="MarginEdition">
    <w:name w:val="Margin Edition"/>
    <w:basedOn w:val="MarginNote"/>
    <w:rsid w:val="00D47528"/>
    <w:pPr>
      <w:spacing w:before="0" w:after="0"/>
    </w:pPr>
    <w:rPr>
      <w:rFonts w:ascii="Times New Roman" w:hAnsi="Times New Roman"/>
      <w:color w:val="999999"/>
    </w:rPr>
  </w:style>
  <w:style w:type="paragraph" w:customStyle="1" w:styleId="Spacer">
    <w:name w:val="Spacer"/>
    <w:basedOn w:val="Normal"/>
    <w:rsid w:val="00D47528"/>
    <w:rPr>
      <w:sz w:val="2"/>
      <w:szCs w:val="2"/>
    </w:rPr>
  </w:style>
  <w:style w:type="character" w:customStyle="1" w:styleId="Small">
    <w:name w:val="Small"/>
    <w:basedOn w:val="DefaultParagraphFont"/>
    <w:rsid w:val="00D47528"/>
    <w:rPr>
      <w:sz w:val="16"/>
    </w:rPr>
  </w:style>
  <w:style w:type="paragraph" w:customStyle="1" w:styleId="WideTable">
    <w:name w:val="Wide Table"/>
    <w:basedOn w:val="Normal"/>
    <w:rsid w:val="00D47528"/>
    <w:pPr>
      <w:ind w:left="-1418"/>
    </w:pPr>
    <w:rPr>
      <w:sz w:val="2"/>
      <w:szCs w:val="2"/>
    </w:rPr>
  </w:style>
  <w:style w:type="character" w:styleId="PageNumber">
    <w:name w:val="page number"/>
    <w:basedOn w:val="DefaultParagraphFont"/>
    <w:rsid w:val="00D47528"/>
  </w:style>
  <w:style w:type="paragraph" w:styleId="Quote">
    <w:name w:val="Quote"/>
    <w:basedOn w:val="Heading1"/>
    <w:link w:val="QuoteChar"/>
    <w:qFormat/>
    <w:rsid w:val="00D47528"/>
    <w:rPr>
      <w:b w:val="0"/>
      <w:sz w:val="72"/>
      <w:szCs w:val="72"/>
      <w:lang w:val="en-NZ"/>
    </w:rPr>
  </w:style>
  <w:style w:type="character" w:customStyle="1" w:styleId="QuoteChar">
    <w:name w:val="Quote Char"/>
    <w:basedOn w:val="DefaultParagraphFont"/>
    <w:link w:val="Quote"/>
    <w:rsid w:val="00D47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528"/>
    <w:pPr>
      <w:pageBreakBefore/>
    </w:pPr>
  </w:style>
  <w:style w:type="paragraph" w:customStyle="1" w:styleId="Border">
    <w:name w:val="Border"/>
    <w:basedOn w:val="Normal"/>
    <w:qFormat/>
    <w:rsid w:val="00D47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528"/>
    <w:rPr>
      <w:b/>
      <w:bCs/>
      <w:i/>
      <w:iCs/>
      <w:color w:val="auto"/>
    </w:rPr>
  </w:style>
  <w:style w:type="paragraph" w:styleId="IntenseQuote">
    <w:name w:val="Intense Quote"/>
    <w:basedOn w:val="Normal"/>
    <w:next w:val="Normal"/>
    <w:link w:val="IntenseQuoteChar"/>
    <w:uiPriority w:val="30"/>
    <w:qFormat/>
    <w:rsid w:val="00D47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528"/>
    <w:rPr>
      <w:smallCaps/>
      <w:color w:val="auto"/>
      <w:u w:val="single"/>
    </w:rPr>
  </w:style>
  <w:style w:type="character" w:styleId="IntenseReference">
    <w:name w:val="Intense Reference"/>
    <w:basedOn w:val="DefaultParagraphFont"/>
    <w:uiPriority w:val="32"/>
    <w:qFormat/>
    <w:rsid w:val="00D47528"/>
    <w:rPr>
      <w:b/>
      <w:bCs/>
      <w:smallCaps/>
      <w:color w:val="auto"/>
      <w:spacing w:val="5"/>
      <w:u w:val="single"/>
    </w:rPr>
  </w:style>
  <w:style w:type="paragraph" w:customStyle="1" w:styleId="2ColumnHeading">
    <w:name w:val="2Column Heading"/>
    <w:basedOn w:val="BodyText"/>
    <w:qFormat/>
    <w:rsid w:val="00D47528"/>
    <w:pPr>
      <w:spacing w:after="60"/>
      <w:ind w:left="-2268"/>
    </w:pPr>
    <w:rPr>
      <w:b/>
    </w:rPr>
  </w:style>
  <w:style w:type="paragraph" w:customStyle="1" w:styleId="Heading1TOC">
    <w:name w:val="Heading1 TOC"/>
    <w:basedOn w:val="Normal"/>
    <w:qFormat/>
    <w:rsid w:val="00D47528"/>
    <w:pPr>
      <w:spacing w:before="240" w:after="120"/>
    </w:pPr>
    <w:rPr>
      <w:rFonts w:ascii="Times New Roman" w:hAnsi="Times New Roman"/>
      <w:b/>
      <w:sz w:val="32"/>
    </w:rPr>
  </w:style>
  <w:style w:type="paragraph" w:customStyle="1" w:styleId="Heading2TOC">
    <w:name w:val="Heading2 TOC"/>
    <w:basedOn w:val="Normal"/>
    <w:qFormat/>
    <w:rsid w:val="00D47528"/>
    <w:pPr>
      <w:spacing w:before="240" w:after="60"/>
    </w:pPr>
    <w:rPr>
      <w:rFonts w:ascii="Times New Roman" w:hAnsi="Times New Roman"/>
      <w:b/>
      <w:sz w:val="28"/>
    </w:rPr>
  </w:style>
  <w:style w:type="character" w:customStyle="1" w:styleId="Underline">
    <w:name w:val="Underline"/>
    <w:basedOn w:val="DefaultParagraphFont"/>
    <w:qFormat/>
    <w:rsid w:val="00D47528"/>
    <w:rPr>
      <w:u w:val="single"/>
    </w:rPr>
  </w:style>
  <w:style w:type="character" w:customStyle="1" w:styleId="BoldandItalics">
    <w:name w:val="Bold and Italics"/>
    <w:qFormat/>
    <w:rsid w:val="00D47528"/>
    <w:rPr>
      <w:b/>
      <w:i/>
      <w:u w:val="none"/>
    </w:rPr>
  </w:style>
  <w:style w:type="paragraph" w:styleId="BalloonText">
    <w:name w:val="Balloon Text"/>
    <w:basedOn w:val="Normal"/>
    <w:link w:val="BalloonTextChar"/>
    <w:rsid w:val="00D47528"/>
    <w:rPr>
      <w:rFonts w:ascii="Tahoma" w:hAnsi="Tahoma" w:cs="Tahoma"/>
      <w:sz w:val="16"/>
      <w:szCs w:val="16"/>
    </w:rPr>
  </w:style>
  <w:style w:type="character" w:customStyle="1" w:styleId="BalloonTextChar">
    <w:name w:val="Balloon Text Char"/>
    <w:basedOn w:val="DefaultParagraphFont"/>
    <w:link w:val="BalloonText"/>
    <w:rsid w:val="00D47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528"/>
    <w:rPr>
      <w:b/>
      <w:color w:val="660033"/>
      <w:spacing w:val="0"/>
    </w:rPr>
  </w:style>
  <w:style w:type="paragraph" w:customStyle="1" w:styleId="Nameditemlist">
    <w:name w:val="Named item list"/>
    <w:basedOn w:val="BodyText"/>
    <w:qFormat/>
    <w:rsid w:val="00D47528"/>
    <w:pPr>
      <w:tabs>
        <w:tab w:val="left" w:pos="2835"/>
      </w:tabs>
      <w:ind w:left="2835" w:hanging="2835"/>
    </w:pPr>
  </w:style>
  <w:style w:type="paragraph" w:customStyle="1" w:styleId="BodyTextnopadding">
    <w:name w:val="Body Text no padding"/>
    <w:basedOn w:val="BodyText"/>
    <w:qFormat/>
    <w:rsid w:val="00D47528"/>
    <w:pPr>
      <w:spacing w:before="0" w:after="0"/>
    </w:pPr>
  </w:style>
  <w:style w:type="paragraph" w:customStyle="1" w:styleId="BodyTextBold">
    <w:name w:val="Body Text Bold"/>
    <w:basedOn w:val="BodyText"/>
    <w:qFormat/>
    <w:rsid w:val="00D47528"/>
    <w:rPr>
      <w:b/>
    </w:rPr>
  </w:style>
  <w:style w:type="character" w:styleId="Hyperlink">
    <w:name w:val="Hyperlink"/>
    <w:basedOn w:val="DefaultParagraphFont"/>
    <w:uiPriority w:val="99"/>
    <w:unhideWhenUsed/>
    <w:rsid w:val="00060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4637</Characters>
  <Application>Microsoft Office Word</Application>
  <DocSecurity>0</DocSecurity>
  <Lines>289</Lines>
  <Paragraphs>167</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MEM21006 Service quartz watches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2023-02-03T07:15:00Z</dcterms:created>
  <dcterms:modified xsi:type="dcterms:W3CDTF">2023-02-03T07:15:00Z</dcterms:modified>
</cp:coreProperties>
</file>