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BA8" w:rsidP="00C17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MEM21006 Service quartz watches</w:t>
      </w:r>
      <w:r>
        <w:fldChar w:fldCharType="end"/>
      </w:r>
    </w:p>
    <w:p w:rsidR="00C17BA8" w:rsidP="00C17BA8">
      <w:pPr>
        <w:pStyle w:val="Version"/>
        <w:sectPr w:rsidSect="00DC1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C0E" w:rsidP="00DC1C0E">
      <w:pPr>
        <w:pStyle w:val="SuperHeading"/>
      </w:pPr>
      <w:r w:rsidRPr="00DC1C0E">
        <w:t>MEM21006 Service quartz watches</w:t>
      </w:r>
    </w:p>
    <w:p w:rsidR="00000000" w:rsidRPr="00DC1C0E" w:rsidP="00DC1C0E">
      <w:pPr>
        <w:pStyle w:val="Heading1"/>
      </w:pPr>
      <w:bookmarkStart w:id="1" w:name="O_951217"/>
      <w:bookmarkEnd w:id="1"/>
      <w:r w:rsidRPr="00DC1C0E">
        <w:t>Modification History</w:t>
      </w:r>
    </w:p>
    <w:p w:rsidR="00000000" w:rsidRPr="00DC1C0E" w:rsidP="00C17BA8">
      <w:pPr>
        <w:pStyle w:val="BodyText"/>
      </w:pPr>
      <w:r w:rsidRPr="00DC1C0E">
        <w:t xml:space="preserve">Release 1. Supersedes and is equivalent to MEM21006A Service quartz watches </w:t>
      </w:r>
    </w:p>
    <w:p w:rsidR="00000000" w:rsidRPr="00DC1C0E" w:rsidP="00DC1C0E">
      <w:pPr>
        <w:pStyle w:val="Heading1"/>
      </w:pPr>
      <w:bookmarkStart w:id="2" w:name="O_951225"/>
      <w:bookmarkEnd w:id="2"/>
      <w:r w:rsidRPr="00DC1C0E">
        <w:t>Application</w:t>
      </w:r>
    </w:p>
    <w:p w:rsidR="00000000" w:rsidRPr="00DC1C0E" w:rsidP="00C17BA8">
      <w:pPr>
        <w:pStyle w:val="BodyText"/>
      </w:pPr>
      <w:r w:rsidRPr="00DC1C0E">
        <w:t>This unit of competency defines the skills and knowledge required to service quartz analog and digital display watches, including</w:t>
      </w:r>
      <w:r w:rsidRPr="00DC1C0E">
        <w:t xml:space="preserve"> modules and case components.</w:t>
      </w:r>
    </w:p>
    <w:p w:rsidR="00000000" w:rsidRPr="00DC1C0E" w:rsidP="00C17BA8">
      <w:pPr>
        <w:pStyle w:val="BodyText"/>
      </w:pPr>
      <w:r w:rsidRPr="00DC1C0E">
        <w:t>This unit is a common servicing requirement for watch repairers and can extend, in some cases, to the work of service technicians.</w:t>
      </w:r>
    </w:p>
    <w:p w:rsidR="00000000" w:rsidRPr="00DC1C0E" w:rsidP="00C17BA8">
      <w:pPr>
        <w:pStyle w:val="BodyText"/>
      </w:pPr>
      <w:r w:rsidRPr="00DC1C0E">
        <w:t>No licensing, legislative or certification requirements apply to this unit at the time of pub</w:t>
      </w:r>
      <w:r w:rsidRPr="00DC1C0E">
        <w:t>lication.</w:t>
      </w:r>
    </w:p>
    <w:p w:rsidR="00000000" w:rsidRPr="00DC1C0E" w:rsidP="00C17BA8">
      <w:pPr>
        <w:pStyle w:val="Heading4"/>
      </w:pPr>
      <w:r w:rsidRPr="00DC1C0E">
        <w:rPr>
          <w:rStyle w:val="SpecialBold"/>
        </w:rPr>
        <w:t>Band:  A</w:t>
      </w:r>
    </w:p>
    <w:p w:rsidR="00000000" w:rsidRPr="00DC1C0E" w:rsidP="00C17BA8">
      <w:pPr>
        <w:pStyle w:val="Heading4"/>
      </w:pPr>
      <w:r w:rsidRPr="00DC1C0E">
        <w:rPr>
          <w:rStyle w:val="SpecialBold"/>
        </w:rPr>
        <w:t xml:space="preserve">Unit weight:  4 </w:t>
      </w:r>
    </w:p>
    <w:p w:rsidR="00000000" w:rsidRPr="00DC1C0E" w:rsidP="00DC1C0E">
      <w:pPr>
        <w:pStyle w:val="Heading1"/>
      </w:pPr>
      <w:bookmarkStart w:id="3" w:name="O_951224"/>
      <w:bookmarkEnd w:id="3"/>
      <w:r w:rsidRPr="00DC1C0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Work safely and effectively in manufacturing and engineering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Organise and communicate information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MEM21001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Replace watch batteries, capacitors and bands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MEM21002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Perform watch movement exchange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MEM21005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BodyText"/>
            </w:pPr>
            <w:r w:rsidRPr="00DC1C0E">
              <w:t>Diagnose faults in quartz watches</w:t>
            </w:r>
          </w:p>
        </w:tc>
      </w:tr>
    </w:tbl>
    <w:p w:rsidR="00000000" w:rsidRPr="00DC1C0E" w:rsidP="00DC1C0E">
      <w:pPr>
        <w:pStyle w:val="BodyText"/>
      </w:pPr>
    </w:p>
    <w:p w:rsidR="00000000" w:rsidRPr="00DC1C0E" w:rsidP="00DC1C0E">
      <w:pPr>
        <w:pStyle w:val="AllowPageBreak"/>
      </w:pPr>
    </w:p>
    <w:p w:rsidR="00000000" w:rsidRPr="00DC1C0E" w:rsidP="00DC1C0E">
      <w:pPr>
        <w:pStyle w:val="Heading1"/>
      </w:pPr>
      <w:bookmarkStart w:id="4" w:name="O_951223"/>
      <w:bookmarkEnd w:id="4"/>
      <w:r w:rsidRPr="00DC1C0E">
        <w:t>Competency Field</w:t>
      </w:r>
    </w:p>
    <w:p w:rsidR="00000000" w:rsidRPr="00DC1C0E" w:rsidP="00C17BA8">
      <w:pPr>
        <w:pStyle w:val="BodyText"/>
      </w:pPr>
      <w:r w:rsidRPr="00DC1C0E">
        <w:t>Horology</w:t>
      </w:r>
    </w:p>
    <w:p w:rsidR="00000000" w:rsidRPr="00DC1C0E" w:rsidP="00DC1C0E">
      <w:pPr>
        <w:pStyle w:val="Heading1"/>
      </w:pPr>
      <w:bookmarkStart w:id="5" w:name="O_951221"/>
      <w:bookmarkEnd w:id="5"/>
      <w:r w:rsidRPr="00DC1C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Performance criteria describe the perform</w:t>
            </w:r>
            <w:r w:rsidRPr="00DC1C0E">
              <w:t>ance needed to demonstrate achievement of the element.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BodyText"/>
            </w:pPr>
            <w:r w:rsidRPr="00DC1C0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Follow standard operating procedures (SOPs)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Comply with work health and safety (WHS) requirements at all times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Identify watch functions and features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Prepare written quotation and inform customer of watch condition and performance concerns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Outline recommended service procedures to be undertaken to remedy identified faults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Verify and agree on ser</w:t>
            </w:r>
            <w:r w:rsidRPr="00DC1C0E">
              <w:t>vicing requirements with customer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Prepare watch for handover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Record and document repair process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BodyText"/>
            </w:pPr>
            <w:r w:rsidRPr="00DC1C0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Disassemble watch case and movement components for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Establish appropriate working environment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Select and use appropriate personal protective equipment (PPE) in accordance with SOPs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 xml:space="preserve">Select and use appropriate workshop tools and equipment 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Open and close watch cases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Remove case movement and components without damaging or marking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Verify gasket condition and replace, as required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Clean cases and bands, as required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BodyText"/>
            </w:pPr>
            <w:r w:rsidRPr="00DC1C0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 xml:space="preserve">Service watch case and movement </w:t>
            </w:r>
            <w:r w:rsidRPr="00DC1C0E">
              <w:rPr>
                <w:rStyle w:val="SpecialBold"/>
              </w:rPr>
              <w:t>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 xml:space="preserve">Inspect condition of watch case and movement components 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Confirm servicing requirements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 xml:space="preserve">Replace faulty or worn component parts 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Clean components and parts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Inspect watch case and movement components for cleanliness and rectify imperfections/faults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Use correct tools and equipment for handling and servicing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BodyText"/>
            </w:pPr>
            <w:r w:rsidRPr="00DC1C0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Reassemble and test watch case and movement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Reassemble watch case and movement components according to manufacturer specifications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Confirm correct assembly of gear train and other components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Use correct types and amounts of lubricant according to manufacturer specifications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Use tools and equipment appropriately taking precautions for correct reassembly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Verify/confirm watch functioning according to manufacturer specifications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4</w:t>
            </w:r>
            <w:r w:rsidRPr="00DC1C0E">
              <w:t>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BodyText"/>
            </w:pPr>
            <w:r w:rsidRPr="00DC1C0E">
              <w:t>Verify watch performance including rate testing and adjust according to manufacturer specifications, as required</w:t>
            </w:r>
          </w:p>
        </w:tc>
      </w:tr>
    </w:tbl>
    <w:p w:rsidR="00000000" w:rsidRPr="00DC1C0E" w:rsidP="00DC1C0E">
      <w:pPr>
        <w:pStyle w:val="BodyText"/>
      </w:pPr>
    </w:p>
    <w:p w:rsidR="00000000" w:rsidRPr="00DC1C0E" w:rsidP="00DC1C0E">
      <w:pPr>
        <w:pStyle w:val="AllowPageBreak"/>
      </w:pPr>
    </w:p>
    <w:p w:rsidR="00000000" w:rsidRPr="00DC1C0E" w:rsidP="00DC1C0E">
      <w:pPr>
        <w:pStyle w:val="Heading1"/>
      </w:pPr>
      <w:bookmarkStart w:id="6" w:name="O_951220"/>
      <w:bookmarkEnd w:id="6"/>
      <w:r w:rsidRPr="00DC1C0E">
        <w:t>Foundation Skills</w:t>
      </w:r>
    </w:p>
    <w:p w:rsidR="00000000" w:rsidRPr="00DC1C0E" w:rsidP="00C17BA8">
      <w:pPr>
        <w:pStyle w:val="BodyText"/>
      </w:pPr>
      <w:r w:rsidRPr="00DC1C0E">
        <w:t>Thi</w:t>
      </w:r>
      <w:r w:rsidRPr="00DC1C0E">
        <w:t xml:space="preserve">s section describes those required skills (reading, writing, oral communication and numeracy) that are essential to workplace performance in this unit of competency.  </w:t>
      </w:r>
    </w:p>
    <w:p w:rsidR="00000000" w:rsidRPr="00DC1C0E" w:rsidP="00C17BA8">
      <w:pPr>
        <w:pStyle w:val="BodyText"/>
      </w:pPr>
      <w:r w:rsidRPr="00DC1C0E">
        <w:t xml:space="preserve">Foundation skills essential to performance are explicit in the performance criteria of </w:t>
      </w:r>
      <w:r w:rsidRPr="00DC1C0E">
        <w:t>this unit of competency.</w:t>
      </w:r>
    </w:p>
    <w:p w:rsidR="00000000" w:rsidRPr="00DC1C0E" w:rsidP="00DC1C0E">
      <w:pPr>
        <w:pStyle w:val="Heading1"/>
      </w:pPr>
      <w:bookmarkStart w:id="7" w:name="O_951219"/>
      <w:bookmarkEnd w:id="7"/>
      <w:r w:rsidRPr="00DC1C0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t>This field allows for different work environments and conditions that may affect performance. Essential operating conditions that may be present (depending on the work situation, needs of the ca</w:t>
            </w:r>
            <w:r w:rsidRPr="00DC1C0E">
              <w:t>ndidate, accessibility of the item, and local industry and regional contexts) are included.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Watch functions and features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ListBullet"/>
            </w:pPr>
            <w:r w:rsidRPr="00DC1C0E">
              <w:t>quartz oscillating stage</w:t>
            </w:r>
          </w:p>
          <w:p w:rsidR="00000000" w:rsidRPr="00DC1C0E" w:rsidP="00DC1C0E">
            <w:pPr>
              <w:pStyle w:val="ListBullet"/>
            </w:pPr>
            <w:r w:rsidRPr="00DC1C0E">
              <w:t>dividing stage</w:t>
            </w:r>
          </w:p>
          <w:p w:rsidR="00000000" w:rsidRPr="00DC1C0E" w:rsidP="00DC1C0E">
            <w:pPr>
              <w:pStyle w:val="ListBullet"/>
            </w:pPr>
            <w:r w:rsidRPr="00DC1C0E">
              <w:t xml:space="preserve">motor drive output pulses </w:t>
            </w:r>
          </w:p>
          <w:p w:rsidR="00000000" w:rsidRPr="00DC1C0E" w:rsidP="00DC1C0E">
            <w:pPr>
              <w:pStyle w:val="ListBullet"/>
            </w:pPr>
            <w:r w:rsidRPr="00DC1C0E">
              <w:t>capacitive output signals</w:t>
            </w:r>
          </w:p>
          <w:p w:rsidR="00000000" w:rsidRPr="00DC1C0E" w:rsidP="00DC1C0E">
            <w:pPr>
              <w:pStyle w:val="ListBullet"/>
            </w:pPr>
            <w:r w:rsidRPr="00DC1C0E">
              <w:t>current consumption</w:t>
            </w:r>
          </w:p>
          <w:p w:rsidR="00000000" w:rsidRPr="00DC1C0E" w:rsidP="00DC1C0E">
            <w:pPr>
              <w:pStyle w:val="ListBullet"/>
            </w:pPr>
            <w:r w:rsidRPr="00DC1C0E">
              <w:t>pulse generation</w:t>
            </w:r>
          </w:p>
          <w:p w:rsidR="00000000" w:rsidRPr="00DC1C0E" w:rsidP="00DC1C0E">
            <w:pPr>
              <w:pStyle w:val="ListBullet"/>
            </w:pPr>
            <w:r w:rsidRPr="00DC1C0E">
              <w:t>lower working limit test</w:t>
            </w:r>
          </w:p>
          <w:p w:rsidR="00000000" w:rsidP="00DC1C0E">
            <w:pPr>
              <w:pStyle w:val="ListBullet"/>
              <w:rPr>
                <w:lang w:val="en-NZ"/>
              </w:rPr>
            </w:pPr>
            <w:r w:rsidRPr="00DC1C0E">
              <w:t>gear train freedom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ListBullet"/>
            </w:pPr>
            <w:r w:rsidRPr="00DC1C0E">
              <w:t xml:space="preserve">extent and date of repair </w:t>
            </w:r>
          </w:p>
          <w:p w:rsidR="00000000" w:rsidRPr="00DC1C0E" w:rsidP="00DC1C0E">
            <w:pPr>
              <w:pStyle w:val="ListBullet"/>
            </w:pPr>
            <w:r w:rsidRPr="00DC1C0E">
              <w:t>cost of replacement part</w:t>
            </w:r>
          </w:p>
          <w:p w:rsidR="00000000" w:rsidP="00DC1C0E">
            <w:pPr>
              <w:pStyle w:val="ListBullet"/>
              <w:rPr>
                <w:lang w:val="en-NZ"/>
              </w:rPr>
            </w:pPr>
            <w:r w:rsidRPr="00DC1C0E">
              <w:t>time spent on pro</w:t>
            </w:r>
            <w:r w:rsidRPr="00DC1C0E">
              <w:t xml:space="preserve">cedure 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 xml:space="preserve">Appropriate working environment includes the following: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ListBullet"/>
            </w:pPr>
            <w:r w:rsidRPr="00DC1C0E">
              <w:t>suitable watchmakers</w:t>
            </w:r>
            <w:r>
              <w:t>’</w:t>
            </w:r>
            <w:r w:rsidRPr="00DC1C0E">
              <w:t xml:space="preserve"> bench </w:t>
            </w:r>
          </w:p>
          <w:p w:rsidR="00000000" w:rsidRPr="00DC1C0E" w:rsidP="00DC1C0E">
            <w:pPr>
              <w:pStyle w:val="ListBullet"/>
            </w:pPr>
            <w:r w:rsidRPr="00DC1C0E">
              <w:t>clean and orderly work area (precautions taken to minimise dust)</w:t>
            </w:r>
          </w:p>
          <w:p w:rsidR="00000000" w:rsidRPr="00DC1C0E" w:rsidP="00DC1C0E">
            <w:pPr>
              <w:pStyle w:val="ListBullet"/>
            </w:pPr>
            <w:r w:rsidRPr="00DC1C0E">
              <w:t>adequate lighting and ventilation</w:t>
            </w:r>
          </w:p>
          <w:p w:rsidR="00000000" w:rsidP="00DC1C0E">
            <w:pPr>
              <w:pStyle w:val="ListBullet"/>
              <w:rPr>
                <w:lang w:val="en-NZ"/>
              </w:rPr>
            </w:pPr>
            <w:r w:rsidRPr="00DC1C0E">
              <w:t>ergonomic chair with adjustable height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Workshop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ListBullet"/>
            </w:pPr>
            <w:r w:rsidRPr="00DC1C0E">
              <w:t>timing machine</w:t>
            </w:r>
          </w:p>
          <w:p w:rsidR="00000000" w:rsidRPr="00DC1C0E" w:rsidP="00DC1C0E">
            <w:pPr>
              <w:pStyle w:val="ListBullet"/>
            </w:pPr>
            <w:r w:rsidRPr="00DC1C0E">
              <w:t>multimeter</w:t>
            </w:r>
          </w:p>
          <w:p w:rsidR="00000000" w:rsidRPr="00DC1C0E" w:rsidP="00DC1C0E">
            <w:pPr>
              <w:pStyle w:val="ListBullet"/>
            </w:pPr>
            <w:r w:rsidRPr="00DC1C0E">
              <w:t>pulse generator</w:t>
            </w:r>
          </w:p>
          <w:p w:rsidR="00000000" w:rsidRPr="00DC1C0E" w:rsidP="00DC1C0E">
            <w:pPr>
              <w:pStyle w:val="ListBullet"/>
            </w:pPr>
            <w:r w:rsidRPr="00DC1C0E">
              <w:t>watch repair hand tools</w:t>
            </w:r>
          </w:p>
          <w:p w:rsidR="00000000" w:rsidRPr="00DC1C0E" w:rsidP="00DC1C0E">
            <w:pPr>
              <w:pStyle w:val="ListBullet"/>
            </w:pPr>
            <w:r w:rsidRPr="00DC1C0E">
              <w:t>case opening and closing tools</w:t>
            </w:r>
          </w:p>
          <w:p w:rsidR="00000000" w:rsidRPr="00DC1C0E" w:rsidP="00DC1C0E">
            <w:pPr>
              <w:pStyle w:val="ListBullet"/>
            </w:pPr>
            <w:r w:rsidRPr="00DC1C0E">
              <w:t>cleaning media</w:t>
            </w:r>
          </w:p>
          <w:p w:rsidR="00000000" w:rsidRPr="00DC1C0E" w:rsidP="00DC1C0E">
            <w:pPr>
              <w:pStyle w:val="ListBullet"/>
            </w:pPr>
            <w:r w:rsidRPr="00DC1C0E">
              <w:t xml:space="preserve">cleaning machines </w:t>
            </w:r>
          </w:p>
          <w:p w:rsidR="00000000" w:rsidRPr="00DC1C0E" w:rsidP="00DC1C0E">
            <w:pPr>
              <w:pStyle w:val="ListBullet"/>
            </w:pPr>
            <w:r w:rsidRPr="00DC1C0E">
              <w:t>lubricants</w:t>
            </w:r>
          </w:p>
          <w:p w:rsidR="00000000" w:rsidP="00DC1C0E">
            <w:pPr>
              <w:pStyle w:val="ListBullet"/>
              <w:rPr>
                <w:lang w:val="en-NZ"/>
              </w:rPr>
            </w:pPr>
            <w:r w:rsidRPr="00DC1C0E">
              <w:t>PPE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Movement and case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ListBullet"/>
            </w:pPr>
            <w:r w:rsidRPr="00DC1C0E">
              <w:t>quartz crystal</w:t>
            </w:r>
          </w:p>
          <w:p w:rsidR="00000000" w:rsidRPr="00DC1C0E" w:rsidP="00DC1C0E">
            <w:pPr>
              <w:pStyle w:val="ListBullet"/>
            </w:pPr>
            <w:r w:rsidRPr="00DC1C0E">
              <w:t>electronic circuits</w:t>
            </w:r>
          </w:p>
          <w:p w:rsidR="00000000" w:rsidRPr="00DC1C0E" w:rsidP="00DC1C0E">
            <w:pPr>
              <w:pStyle w:val="ListBullet"/>
            </w:pPr>
            <w:r w:rsidRPr="00DC1C0E">
              <w:t>coils</w:t>
            </w:r>
          </w:p>
          <w:p w:rsidR="00000000" w:rsidRPr="00DC1C0E" w:rsidP="00DC1C0E">
            <w:pPr>
              <w:pStyle w:val="ListBullet"/>
            </w:pPr>
            <w:r w:rsidRPr="00DC1C0E">
              <w:t>mechanical gear train</w:t>
            </w:r>
          </w:p>
          <w:p w:rsidR="00000000" w:rsidRPr="00DC1C0E" w:rsidP="00DC1C0E">
            <w:pPr>
              <w:pStyle w:val="ListBullet"/>
            </w:pPr>
            <w:r w:rsidRPr="00DC1C0E">
              <w:t>liquid crystal displays</w:t>
            </w:r>
          </w:p>
          <w:p w:rsidR="00000000" w:rsidRPr="00DC1C0E" w:rsidP="00DC1C0E">
            <w:pPr>
              <w:pStyle w:val="ListBullet"/>
            </w:pPr>
            <w:r w:rsidRPr="00DC1C0E">
              <w:t>watch glasses</w:t>
            </w:r>
          </w:p>
          <w:p w:rsidR="00000000" w:rsidRPr="00DC1C0E" w:rsidP="00DC1C0E">
            <w:pPr>
              <w:pStyle w:val="ListBullet"/>
            </w:pPr>
            <w:r w:rsidRPr="00DC1C0E">
              <w:t>case back</w:t>
            </w:r>
          </w:p>
          <w:p w:rsidR="00000000" w:rsidRPr="00DC1C0E" w:rsidP="00DC1C0E">
            <w:pPr>
              <w:pStyle w:val="ListBullet"/>
            </w:pPr>
            <w:r w:rsidRPr="00DC1C0E">
              <w:t>bezel (rotating)</w:t>
            </w:r>
          </w:p>
          <w:p w:rsidR="00000000" w:rsidRPr="00DC1C0E" w:rsidP="00DC1C0E">
            <w:pPr>
              <w:pStyle w:val="ListBullet"/>
            </w:pPr>
            <w:r w:rsidRPr="00DC1C0E">
              <w:t>crown</w:t>
            </w:r>
          </w:p>
          <w:p w:rsidR="00000000" w:rsidRPr="00DC1C0E" w:rsidP="00DC1C0E">
            <w:pPr>
              <w:pStyle w:val="ListBullet"/>
            </w:pPr>
            <w:r w:rsidRPr="00DC1C0E">
              <w:t>pendant</w:t>
            </w:r>
          </w:p>
          <w:p w:rsidR="00000000" w:rsidP="00DC1C0E">
            <w:pPr>
              <w:pStyle w:val="ListBullet"/>
              <w:rPr>
                <w:lang w:val="en-NZ"/>
              </w:rPr>
            </w:pPr>
            <w:r w:rsidRPr="00DC1C0E">
              <w:t>pushbuttons</w:t>
            </w:r>
          </w:p>
        </w:tc>
      </w:tr>
      <w:tr w:rsidTr="00DC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C0E">
            <w:pPr>
              <w:pStyle w:val="BodyText"/>
              <w:rPr>
                <w:lang w:val="en-NZ"/>
              </w:rPr>
            </w:pPr>
            <w:r w:rsidRPr="00DC1C0E">
              <w:rPr>
                <w:rStyle w:val="SpecialBold"/>
              </w:rPr>
              <w:t>Watch performance/rate testing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C0E" w:rsidP="00DC1C0E">
            <w:pPr>
              <w:pStyle w:val="ListBullet"/>
            </w:pPr>
            <w:r w:rsidRPr="00DC1C0E">
              <w:t xml:space="preserve">current consumption according to manufacturer specifications </w:t>
            </w:r>
          </w:p>
          <w:p w:rsidR="00000000" w:rsidRPr="00DC1C0E" w:rsidP="00DC1C0E">
            <w:pPr>
              <w:pStyle w:val="ListBullet"/>
            </w:pPr>
            <w:r w:rsidRPr="00DC1C0E">
              <w:t>rate testing (seconds/day)</w:t>
            </w:r>
          </w:p>
        </w:tc>
      </w:tr>
    </w:tbl>
    <w:p w:rsidR="00000000" w:rsidRPr="00DC1C0E" w:rsidP="00DC1C0E">
      <w:pPr>
        <w:pStyle w:val="BodyText"/>
      </w:pPr>
    </w:p>
    <w:p w:rsidR="00000000" w:rsidRPr="00DC1C0E" w:rsidP="00DC1C0E">
      <w:pPr>
        <w:pStyle w:val="AllowPageBreak"/>
      </w:pPr>
    </w:p>
    <w:p w:rsidR="00000000" w:rsidRPr="00DC1C0E" w:rsidP="00DC1C0E">
      <w:pPr>
        <w:pStyle w:val="Heading1"/>
      </w:pPr>
      <w:bookmarkStart w:id="8" w:name="O_951218"/>
      <w:bookmarkEnd w:id="8"/>
      <w:r w:rsidRPr="00DC1C0E">
        <w:t>Unit Mapping Information</w:t>
      </w:r>
    </w:p>
    <w:p w:rsidR="00000000" w:rsidRPr="00DC1C0E" w:rsidP="00C17BA8">
      <w:pPr>
        <w:pStyle w:val="BodyText"/>
      </w:pPr>
      <w:r w:rsidRPr="00DC1C0E">
        <w:t xml:space="preserve">Release 1. Supersedes and is equivalent to MEM21006A Service quartz watches </w:t>
      </w:r>
    </w:p>
    <w:p w:rsidR="00000000" w:rsidRPr="00DC1C0E" w:rsidP="00DC1C0E">
      <w:pPr>
        <w:pStyle w:val="Heading1"/>
      </w:pPr>
      <w:bookmarkStart w:id="9" w:name="O_951211"/>
      <w:bookmarkEnd w:id="9"/>
      <w:r w:rsidRPr="00DC1C0E">
        <w:t>Links</w:t>
      </w:r>
    </w:p>
    <w:p w:rsidR="00000000" w:rsidRPr="00DC1C0E" w:rsidP="00C17BA8">
      <w:pPr>
        <w:pStyle w:val="BodyText"/>
      </w:pPr>
      <w:r w:rsidRPr="00DC1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3E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1C0E" w:rsidP="00C17BA8">
      <w:pPr>
        <w:pStyle w:val="BodyText"/>
        <w:sectPr w:rsidSect="00DC1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1C0E" w:rsidP="00DC1C0E">
      <w:pPr>
        <w:pStyle w:val="SuperHeading"/>
      </w:pPr>
      <w:r w:rsidRPr="00DC1C0E">
        <w:t>Assessment Requirements for MEM21006 Service quartz watches</w:t>
      </w:r>
    </w:p>
    <w:p w:rsidR="00000000" w:rsidRPr="00DC1C0E" w:rsidP="00DC1C0E">
      <w:pPr>
        <w:pStyle w:val="Heading1"/>
      </w:pPr>
      <w:bookmarkStart w:id="10" w:name="O_951213"/>
      <w:bookmarkEnd w:id="10"/>
      <w:r w:rsidRPr="00DC1C0E">
        <w:t>Modification History</w:t>
      </w:r>
    </w:p>
    <w:p w:rsidR="00000000" w:rsidRPr="00DC1C0E" w:rsidP="00C17BA8">
      <w:pPr>
        <w:pStyle w:val="BodyText"/>
      </w:pPr>
      <w:r w:rsidRPr="00DC1C0E">
        <w:t xml:space="preserve">Release 1. Supersedes and is equivalent to MEM21006A Service quartz watches </w:t>
      </w:r>
    </w:p>
    <w:p w:rsidR="00000000" w:rsidRPr="00DC1C0E" w:rsidP="00DC1C0E">
      <w:pPr>
        <w:pStyle w:val="Heading1"/>
      </w:pPr>
      <w:bookmarkStart w:id="11" w:name="O_951216"/>
      <w:bookmarkEnd w:id="11"/>
      <w:r w:rsidRPr="00DC1C0E">
        <w:t>Performance Evidence</w:t>
      </w:r>
    </w:p>
    <w:p w:rsidR="00000000" w:rsidRPr="00DC1C0E" w:rsidP="00C17BA8">
      <w:pPr>
        <w:pStyle w:val="BodyText"/>
      </w:pPr>
      <w:r w:rsidRPr="00DC1C0E">
        <w:t>Evidence required to demonstrate competence in this unit must be relevant to and satisfy the requirements of the elements and performance criteria on at least two (2) occasions and include:</w:t>
      </w:r>
    </w:p>
    <w:p w:rsidR="00000000" w:rsidRPr="00DC1C0E" w:rsidP="00DC1C0E">
      <w:pPr>
        <w:pStyle w:val="ListBullet"/>
      </w:pPr>
      <w:r w:rsidRPr="00DC1C0E">
        <w:t>following work instructions, standard operat</w:t>
      </w:r>
      <w:r w:rsidRPr="00DC1C0E">
        <w:t xml:space="preserve">ing procedures (SOPs) and safe work practices </w:t>
      </w:r>
    </w:p>
    <w:p w:rsidR="00000000" w:rsidRPr="00DC1C0E" w:rsidP="00DC1C0E">
      <w:pPr>
        <w:pStyle w:val="ListBullet"/>
      </w:pPr>
      <w:r w:rsidRPr="00DC1C0E">
        <w:t>liaising with customer and verifying condition and performance, identifying service costs, and recording and documenting repair process</w:t>
      </w:r>
    </w:p>
    <w:p w:rsidR="00000000" w:rsidRPr="00DC1C0E" w:rsidP="00DC1C0E">
      <w:pPr>
        <w:pStyle w:val="ListBullet"/>
      </w:pPr>
      <w:r w:rsidRPr="00DC1C0E">
        <w:t>diagnosing and fault finding quartz analog and digital watches in an appr</w:t>
      </w:r>
      <w:r w:rsidRPr="00DC1C0E">
        <w:t xml:space="preserve">opriate work environment </w:t>
      </w:r>
    </w:p>
    <w:p w:rsidR="00000000" w:rsidRPr="00DC1C0E" w:rsidP="00DC1C0E">
      <w:pPr>
        <w:pStyle w:val="ListBullet"/>
      </w:pPr>
      <w:r w:rsidRPr="00DC1C0E">
        <w:t xml:space="preserve">dismantling and reassembling quartz watch digital modules, movements, gear trains and sub-assemblies using appropriate workshop tools and equipment </w:t>
      </w:r>
    </w:p>
    <w:p w:rsidR="00000000" w:rsidRPr="00DC1C0E" w:rsidP="00DC1C0E">
      <w:pPr>
        <w:pStyle w:val="ListBullet"/>
      </w:pPr>
      <w:r w:rsidRPr="00DC1C0E">
        <w:t xml:space="preserve">using appropriate watch movement/components cleaning techniques without damage or marking to case movement and components </w:t>
      </w:r>
    </w:p>
    <w:p w:rsidR="00000000" w:rsidRPr="00DC1C0E" w:rsidP="00DC1C0E">
      <w:pPr>
        <w:pStyle w:val="ListBullet"/>
      </w:pPr>
      <w:r w:rsidRPr="00DC1C0E">
        <w:t>applying correct type and amount of lubrication according to manufacturers’ specifications</w:t>
      </w:r>
    </w:p>
    <w:p w:rsidR="00000000" w:rsidRPr="00DC1C0E" w:rsidP="00DC1C0E">
      <w:pPr>
        <w:pStyle w:val="ListBullet"/>
      </w:pPr>
      <w:r w:rsidRPr="00DC1C0E">
        <w:t>performing watch function and electrical p</w:t>
      </w:r>
      <w:r w:rsidRPr="00DC1C0E">
        <w:t>erformance testing, including current consumption, according to manufacturer specifications and rate testing.</w:t>
      </w:r>
    </w:p>
    <w:p w:rsidR="00000000" w:rsidRPr="00DC1C0E" w:rsidP="00DC1C0E">
      <w:pPr>
        <w:pStyle w:val="AllowPageBreak"/>
      </w:pPr>
    </w:p>
    <w:p w:rsidR="00000000" w:rsidRPr="00DC1C0E" w:rsidP="00DC1C0E">
      <w:pPr>
        <w:pStyle w:val="Heading1"/>
      </w:pPr>
      <w:bookmarkStart w:id="12" w:name="O_951215"/>
      <w:bookmarkEnd w:id="12"/>
      <w:r w:rsidRPr="00DC1C0E">
        <w:t>Knowledge Evidence</w:t>
      </w:r>
    </w:p>
    <w:p w:rsidR="00000000" w:rsidRPr="00DC1C0E" w:rsidP="00C17BA8">
      <w:pPr>
        <w:pStyle w:val="BodyText"/>
      </w:pPr>
      <w:r w:rsidRPr="00DC1C0E">
        <w:t>Evidence required to demonstrate the required knowledge for this unit must be relevant to and satisfy the requ</w:t>
      </w:r>
      <w:r w:rsidRPr="00DC1C0E">
        <w:t>irements of the elements and performance criteria and include knowledge of:</w:t>
      </w:r>
    </w:p>
    <w:p w:rsidR="00000000" w:rsidRPr="00DC1C0E" w:rsidP="00DC1C0E">
      <w:pPr>
        <w:pStyle w:val="ListBullet"/>
      </w:pPr>
      <w:r w:rsidRPr="00DC1C0E">
        <w:t>safe work practices and procedures and use of personal protective equipment (PPE)</w:t>
      </w:r>
    </w:p>
    <w:p w:rsidR="00000000" w:rsidRPr="00DC1C0E" w:rsidP="00DC1C0E">
      <w:pPr>
        <w:pStyle w:val="ListBullet"/>
      </w:pPr>
      <w:r w:rsidRPr="00DC1C0E">
        <w:t>quartz watch construction and components (i.e. analog, digital and duo displays)</w:t>
      </w:r>
    </w:p>
    <w:p w:rsidR="00000000" w:rsidRPr="00DC1C0E" w:rsidP="00DC1C0E">
      <w:pPr>
        <w:pStyle w:val="ListBullet"/>
      </w:pPr>
      <w:r w:rsidRPr="00DC1C0E">
        <w:t>quartz watch ope</w:t>
      </w:r>
      <w:r w:rsidRPr="00DC1C0E">
        <w:t>rating principles (analog and digital)</w:t>
      </w:r>
    </w:p>
    <w:p w:rsidR="00000000" w:rsidRPr="00DC1C0E" w:rsidP="00DC1C0E">
      <w:pPr>
        <w:pStyle w:val="ListBullet"/>
      </w:pPr>
      <w:r w:rsidRPr="00DC1C0E">
        <w:t>quartz watch lubrication techniques</w:t>
      </w:r>
    </w:p>
    <w:p w:rsidR="00000000" w:rsidRPr="00DC1C0E" w:rsidP="00DC1C0E">
      <w:pPr>
        <w:pStyle w:val="ListBullet"/>
      </w:pPr>
      <w:r w:rsidRPr="00DC1C0E">
        <w:t>watch case and band construction and components</w:t>
      </w:r>
    </w:p>
    <w:p w:rsidR="00000000" w:rsidRPr="00DC1C0E" w:rsidP="00DC1C0E">
      <w:pPr>
        <w:pStyle w:val="ListBullet"/>
      </w:pPr>
      <w:r w:rsidRPr="00DC1C0E">
        <w:t>testing procedures to confirm watch function</w:t>
      </w:r>
    </w:p>
    <w:p w:rsidR="00000000" w:rsidRPr="00DC1C0E" w:rsidP="00DC1C0E">
      <w:pPr>
        <w:pStyle w:val="ListBullet"/>
      </w:pPr>
      <w:r w:rsidRPr="00DC1C0E">
        <w:t>watch servicing requirements</w:t>
      </w:r>
    </w:p>
    <w:p w:rsidR="00000000" w:rsidRPr="00DC1C0E" w:rsidP="00DC1C0E">
      <w:pPr>
        <w:pStyle w:val="ListBullet"/>
      </w:pPr>
      <w:r w:rsidRPr="00DC1C0E">
        <w:t>repair process recording procedures</w:t>
      </w:r>
    </w:p>
    <w:p w:rsidR="00000000" w:rsidRPr="00DC1C0E" w:rsidP="00DC1C0E">
      <w:pPr>
        <w:pStyle w:val="ListBullet"/>
      </w:pPr>
      <w:r w:rsidRPr="00DC1C0E">
        <w:t>watch handover procedur</w:t>
      </w:r>
      <w:r w:rsidRPr="00DC1C0E">
        <w:t>es</w:t>
      </w:r>
    </w:p>
    <w:p w:rsidR="00000000" w:rsidRPr="00DC1C0E" w:rsidP="00DC1C0E">
      <w:pPr>
        <w:pStyle w:val="ListBullet"/>
      </w:pPr>
      <w:r w:rsidRPr="00DC1C0E">
        <w:t>client liaison techniques</w:t>
      </w:r>
    </w:p>
    <w:p w:rsidR="00000000" w:rsidRPr="00DC1C0E" w:rsidP="00DC1C0E">
      <w:pPr>
        <w:pStyle w:val="ListBullet"/>
      </w:pPr>
      <w:r w:rsidRPr="00DC1C0E">
        <w:t>power sources</w:t>
      </w:r>
    </w:p>
    <w:p w:rsidR="00000000" w:rsidRPr="00DC1C0E" w:rsidP="00DC1C0E">
      <w:pPr>
        <w:pStyle w:val="ListBullet"/>
      </w:pPr>
      <w:r w:rsidRPr="00DC1C0E">
        <w:t>power cells, batteries, capacitors and electronic storage units.</w:t>
      </w:r>
    </w:p>
    <w:p w:rsidR="00000000" w:rsidRPr="00DC1C0E" w:rsidP="00DC1C0E">
      <w:pPr>
        <w:pStyle w:val="AllowPageBreak"/>
      </w:pPr>
    </w:p>
    <w:p w:rsidR="00000000" w:rsidRPr="00DC1C0E" w:rsidP="00DC1C0E">
      <w:pPr>
        <w:pStyle w:val="Heading1"/>
      </w:pPr>
      <w:bookmarkStart w:id="13" w:name="O_951214"/>
      <w:bookmarkEnd w:id="13"/>
      <w:r w:rsidRPr="00DC1C0E">
        <w:t>Assessment Conditions</w:t>
      </w:r>
    </w:p>
    <w:p w:rsidR="00000000" w:rsidRPr="00DC1C0E" w:rsidP="00DC1C0E">
      <w:pPr>
        <w:pStyle w:val="ListBullet"/>
      </w:pPr>
      <w:r w:rsidRPr="00DC1C0E">
        <w:t>Assessors must:</w:t>
      </w:r>
    </w:p>
    <w:p w:rsidR="00000000" w:rsidRPr="00DC1C0E" w:rsidP="00DC1C0E">
      <w:pPr>
        <w:pStyle w:val="ListBullet2"/>
      </w:pPr>
      <w:r w:rsidRPr="00DC1C0E">
        <w:t>have vocational competency in servicing quartz watches at least to the level being assessed with relevant industry knowledge and experience</w:t>
      </w:r>
    </w:p>
    <w:p w:rsidR="00000000" w:rsidRPr="00DC1C0E" w:rsidP="00DC1C0E">
      <w:pPr>
        <w:pStyle w:val="ListBullet2"/>
      </w:pPr>
      <w:r w:rsidRPr="00DC1C0E">
        <w:t xml:space="preserve">satisfy the assessor requirements in the </w:t>
      </w:r>
      <w:r w:rsidRPr="00DC1C0E">
        <w:rPr>
          <w:rStyle w:val="Emphasis"/>
        </w:rPr>
        <w:t xml:space="preserve">Standards for Registered Training Organisations 2015 </w:t>
      </w:r>
      <w:r w:rsidRPr="00DC1C0E">
        <w:t>or its replacement</w:t>
      </w:r>
      <w:r w:rsidRPr="00DC1C0E">
        <w:rPr>
          <w:rStyle w:val="Emphasis"/>
        </w:rPr>
        <w:t xml:space="preserve"> </w:t>
      </w:r>
      <w:r w:rsidRPr="00DC1C0E">
        <w:t>and</w:t>
      </w:r>
      <w:r w:rsidRPr="00DC1C0E">
        <w:t xml:space="preserve"> comply with the </w:t>
      </w:r>
      <w:r w:rsidRPr="00DC1C0E">
        <w:rPr>
          <w:rStyle w:val="Emphasis"/>
        </w:rPr>
        <w:t xml:space="preserve">National Vocational Education and Training Regulator Act 2011, </w:t>
      </w:r>
      <w:r w:rsidRPr="00DC1C0E">
        <w:t xml:space="preserve">its </w:t>
      </w:r>
      <w:r w:rsidRPr="00DC1C0E">
        <w:t>replacement</w:t>
      </w:r>
      <w:r w:rsidRPr="00DC1C0E">
        <w:rPr>
          <w:rStyle w:val="Emphasis"/>
        </w:rPr>
        <w:t xml:space="preserve"> </w:t>
      </w:r>
      <w:r w:rsidRPr="00DC1C0E">
        <w:t>or equivalent legislation covering VET regulation in a non-referring state/territory as the case requires</w:t>
      </w:r>
    </w:p>
    <w:p w:rsidR="00000000" w:rsidRPr="00DC1C0E" w:rsidP="00DC1C0E">
      <w:pPr>
        <w:pStyle w:val="ListBullet"/>
      </w:pPr>
      <w:r w:rsidRPr="00DC1C0E">
        <w:t>Where possible assessment must occur in operational w</w:t>
      </w:r>
      <w:r w:rsidRPr="00DC1C0E">
        <w:t>orkplace situations. Where this is not possible or where personal safety or environmental damage are limiting factors, assessment must occur in a sufficiently rigorous simulated environment that reflects realistic operational workplace conditions. This mus</w:t>
      </w:r>
      <w:r w:rsidRPr="00DC1C0E">
        <w:t>t cover all aspects of workplace performance, including environment, task skills, task management skills, contingency management skills and job role environment skills</w:t>
      </w:r>
    </w:p>
    <w:p w:rsidR="00000000" w:rsidRPr="00DC1C0E" w:rsidP="00DC1C0E">
      <w:pPr>
        <w:pStyle w:val="ListBullet"/>
      </w:pPr>
      <w:r w:rsidRPr="00DC1C0E">
        <w:t>Conditions for assessment must include access to all tools, equipment, materials and doc</w:t>
      </w:r>
      <w:r w:rsidRPr="00DC1C0E">
        <w:t>umentation required, including relevant workplace procedures, product and manufacturing specifications</w:t>
      </w:r>
    </w:p>
    <w:p w:rsidR="00000000" w:rsidRPr="00DC1C0E" w:rsidP="00DC1C0E">
      <w:pPr>
        <w:pStyle w:val="ListBullet"/>
      </w:pPr>
      <w:r w:rsidRPr="00DC1C0E">
        <w:t xml:space="preserve">Assessment processes and techniques must be appropriate to the language, literacy and numeracy requirements of the work being performed and the needs of </w:t>
      </w:r>
      <w:r w:rsidRPr="00DC1C0E">
        <w:t>the candidate.</w:t>
      </w:r>
    </w:p>
    <w:p w:rsidR="00000000" w:rsidRPr="00DC1C0E" w:rsidP="00DC1C0E">
      <w:pPr>
        <w:pStyle w:val="AllowPageBreak"/>
      </w:pPr>
    </w:p>
    <w:p w:rsidR="00000000" w:rsidRPr="00DC1C0E" w:rsidP="00DC1C0E">
      <w:pPr>
        <w:pStyle w:val="Heading1"/>
      </w:pPr>
      <w:bookmarkStart w:id="14" w:name="O_951212"/>
      <w:bookmarkEnd w:id="14"/>
      <w:r w:rsidRPr="00DC1C0E">
        <w:t>Links</w:t>
      </w:r>
    </w:p>
    <w:p w:rsidR="00000000" w:rsidRPr="00DC1C0E" w:rsidP="00C17BA8">
      <w:pPr>
        <w:pStyle w:val="BodyText"/>
      </w:pPr>
      <w:r w:rsidRPr="00DC1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3E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1C0E" w:rsidP="00DC1C0E"/>
    <w:sectPr w:rsidSect="00DC1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E" w:rsidRPr="00C17BA8" w:rsidP="00C17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A8" w:rsidP="00DC1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7BA8" w:rsidP="00DC1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7BA8" w:rsidP="00DC1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E" w:rsidP="00DC1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7BA8">
      <w:t>Approved</w:t>
    </w:r>
    <w:r w:rsidR="00C17B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7BA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7BA8">
      <w:rPr>
        <w:noProof/>
      </w:rPr>
      <w:t>6</w:t>
    </w:r>
    <w:r>
      <w:rPr>
        <w:noProof/>
      </w:rPr>
      <w:fldChar w:fldCharType="end"/>
    </w:r>
  </w:p>
  <w:p w:rsidR="00DC1C0E" w:rsidP="00DC1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7B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7BA8">
      <w:t>Manufacturing Industry Skills Alliance</w:t>
    </w:r>
    <w:r w:rsidR="00C17BA8">
      <w:fldChar w:fldCharType="end"/>
    </w:r>
  </w:p>
  <w:p w:rsidR="00DC1C0E" w:rsidP="00DC1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C0E" w:rsidRPr="00C17BA8" w:rsidP="00C17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A8" w:rsidRPr="002D2AF8" w:rsidP="00DC1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MEM21006 Service quartz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7BA8" w:rsidP="00DC1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0E" w:rsidRPr="002D2AF8" w:rsidP="00DC1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7BA8">
      <w:t>MEM21006 Service quartz watches</w:t>
    </w:r>
    <w:r w:rsidR="00C17B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7BA8">
      <w:rPr>
        <w:noProof/>
      </w:rPr>
      <w:t>2 March 2025</w:t>
    </w:r>
    <w:r>
      <w:fldChar w:fldCharType="end"/>
    </w:r>
  </w:p>
  <w:p w:rsidR="00DC1C0E" w:rsidP="00DC1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4D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65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483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C0E"/>
  </w:style>
  <w:style w:type="character" w:customStyle="1" w:styleId="Heading1Char">
    <w:name w:val="Heading 1 Char"/>
    <w:basedOn w:val="DefaultParagraphFont"/>
    <w:link w:val="Heading1"/>
    <w:rsid w:val="00DC1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C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C0E"/>
    <w:rPr>
      <w:b/>
      <w:spacing w:val="0"/>
    </w:rPr>
  </w:style>
  <w:style w:type="paragraph" w:styleId="ListBullet2">
    <w:name w:val="List Bullet 2"/>
    <w:basedOn w:val="List2"/>
    <w:rsid w:val="00DC1C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1C0E"/>
    <w:rPr>
      <w:i/>
    </w:rPr>
  </w:style>
  <w:style w:type="paragraph" w:customStyle="1" w:styleId="SuperHeading">
    <w:name w:val="SuperHeading"/>
    <w:basedOn w:val="Normal"/>
    <w:rsid w:val="00DC1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C0E"/>
  </w:style>
  <w:style w:type="paragraph" w:styleId="TableofFigures">
    <w:name w:val="table of figures"/>
    <w:basedOn w:val="Normal"/>
    <w:next w:val="Normal"/>
    <w:semiHidden/>
    <w:rsid w:val="00DC1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C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C0E"/>
    <w:rPr>
      <w:rFonts w:ascii="Wingdings" w:hAnsi="Wingdings"/>
    </w:rPr>
  </w:style>
  <w:style w:type="paragraph" w:customStyle="1" w:styleId="TableHeading">
    <w:name w:val="Table Heading"/>
    <w:basedOn w:val="HeadingBase"/>
    <w:rsid w:val="00DC1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C0E"/>
    <w:rPr>
      <w:color w:val="0033CC"/>
      <w:u w:val="none"/>
    </w:rPr>
  </w:style>
  <w:style w:type="paragraph" w:customStyle="1" w:styleId="BodyTextRight">
    <w:name w:val="Body Text Right"/>
    <w:basedOn w:val="BodyText"/>
    <w:rsid w:val="00DC1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C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C0E"/>
    <w:rPr>
      <w:sz w:val="32"/>
    </w:rPr>
  </w:style>
  <w:style w:type="paragraph" w:customStyle="1" w:styleId="HeadingProcedure">
    <w:name w:val="Heading Procedure"/>
    <w:basedOn w:val="HeadingBase"/>
    <w:next w:val="Normal"/>
    <w:rsid w:val="00DC1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C0E"/>
    <w:pPr>
      <w:spacing w:before="60" w:after="60"/>
    </w:pPr>
  </w:style>
  <w:style w:type="paragraph" w:styleId="ListContinue">
    <w:name w:val="List Continue"/>
    <w:basedOn w:val="List"/>
    <w:rsid w:val="00DC1C0E"/>
    <w:pPr>
      <w:ind w:firstLine="0"/>
    </w:pPr>
  </w:style>
  <w:style w:type="paragraph" w:customStyle="1" w:styleId="ListNote">
    <w:name w:val="List Note"/>
    <w:basedOn w:val="List"/>
    <w:rsid w:val="00DC1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C0E"/>
    <w:rPr>
      <w:rFonts w:ascii="Courier New" w:hAnsi="Courier New"/>
    </w:rPr>
  </w:style>
  <w:style w:type="paragraph" w:customStyle="1" w:styleId="NoteBullet">
    <w:name w:val="Note Bullet"/>
    <w:basedOn w:val="Note"/>
    <w:rsid w:val="00DC1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C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C0E"/>
    <w:rPr>
      <w:b/>
      <w:smallCaps/>
    </w:rPr>
  </w:style>
  <w:style w:type="paragraph" w:customStyle="1" w:styleId="TableListNumber">
    <w:name w:val="Table List Number"/>
    <w:basedOn w:val="ListNumber"/>
    <w:rsid w:val="00DC1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C0E"/>
    <w:pPr>
      <w:numPr>
        <w:numId w:val="9"/>
      </w:numPr>
    </w:pPr>
  </w:style>
  <w:style w:type="paragraph" w:customStyle="1" w:styleId="ListAlpha2">
    <w:name w:val="List Alpha 2"/>
    <w:basedOn w:val="List2"/>
    <w:rsid w:val="00DC1C0E"/>
    <w:pPr>
      <w:numPr>
        <w:numId w:val="8"/>
      </w:numPr>
    </w:pPr>
  </w:style>
  <w:style w:type="paragraph" w:styleId="List2">
    <w:name w:val="List 2"/>
    <w:basedOn w:val="BodyText"/>
    <w:rsid w:val="00DC1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C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C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C0E"/>
    <w:pPr>
      <w:numPr>
        <w:numId w:val="4"/>
      </w:numPr>
    </w:pPr>
  </w:style>
  <w:style w:type="paragraph" w:styleId="ListContinue2">
    <w:name w:val="List Continue 2"/>
    <w:basedOn w:val="List2"/>
    <w:rsid w:val="00DC1C0E"/>
    <w:pPr>
      <w:ind w:firstLine="0"/>
    </w:pPr>
  </w:style>
  <w:style w:type="paragraph" w:styleId="ListContinue3">
    <w:name w:val="List Continue 3"/>
    <w:basedOn w:val="List3"/>
    <w:rsid w:val="00DC1C0E"/>
    <w:pPr>
      <w:ind w:left="1021" w:firstLine="0"/>
    </w:pPr>
  </w:style>
  <w:style w:type="paragraph" w:styleId="ListContinue4">
    <w:name w:val="List Continue 4"/>
    <w:basedOn w:val="List4"/>
    <w:rsid w:val="00DC1C0E"/>
    <w:pPr>
      <w:ind w:firstLine="0"/>
    </w:pPr>
  </w:style>
  <w:style w:type="paragraph" w:styleId="ListContinue5">
    <w:name w:val="List Continue 5"/>
    <w:basedOn w:val="List5"/>
    <w:rsid w:val="00DC1C0E"/>
    <w:pPr>
      <w:ind w:firstLine="0"/>
    </w:pPr>
  </w:style>
  <w:style w:type="paragraph" w:styleId="ListNumber3">
    <w:name w:val="List Number 3"/>
    <w:basedOn w:val="List3"/>
    <w:rsid w:val="00DC1C0E"/>
    <w:pPr>
      <w:numPr>
        <w:numId w:val="5"/>
      </w:numPr>
    </w:pPr>
  </w:style>
  <w:style w:type="paragraph" w:styleId="ListNumber4">
    <w:name w:val="List Number 4"/>
    <w:basedOn w:val="List4"/>
    <w:rsid w:val="00DC1C0E"/>
    <w:pPr>
      <w:numPr>
        <w:numId w:val="6"/>
      </w:numPr>
    </w:pPr>
  </w:style>
  <w:style w:type="paragraph" w:styleId="ListNumber5">
    <w:name w:val="List Number 5"/>
    <w:basedOn w:val="List5"/>
    <w:rsid w:val="00DC1C0E"/>
    <w:pPr>
      <w:numPr>
        <w:numId w:val="7"/>
      </w:numPr>
    </w:pPr>
  </w:style>
  <w:style w:type="paragraph" w:styleId="BlockText">
    <w:name w:val="Block Text"/>
    <w:basedOn w:val="Normal"/>
    <w:rsid w:val="00DC1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C0E"/>
    <w:rPr>
      <w:sz w:val="16"/>
      <w:vertAlign w:val="superscript"/>
    </w:rPr>
  </w:style>
  <w:style w:type="character" w:customStyle="1" w:styleId="Symbols">
    <w:name w:val="Symbols"/>
    <w:basedOn w:val="DefaultParagraphFont"/>
    <w:rsid w:val="00DC1C0E"/>
    <w:rPr>
      <w:rFonts w:ascii="Symbol" w:hAnsi="Symbol"/>
    </w:rPr>
  </w:style>
  <w:style w:type="character" w:customStyle="1" w:styleId="MenuOptions">
    <w:name w:val="Menu Options"/>
    <w:basedOn w:val="DefaultParagraphFont"/>
    <w:rsid w:val="00DC1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C0E"/>
    <w:rPr>
      <w:b/>
    </w:rPr>
  </w:style>
  <w:style w:type="character" w:customStyle="1" w:styleId="Underlined">
    <w:name w:val="Underlined"/>
    <w:basedOn w:val="DefaultParagraphFont"/>
    <w:rsid w:val="00DC1C0E"/>
    <w:rPr>
      <w:u w:val="single"/>
    </w:rPr>
  </w:style>
  <w:style w:type="paragraph" w:customStyle="1" w:styleId="TableBodyTextRight">
    <w:name w:val="Table Body Text Right"/>
    <w:basedOn w:val="TableBodyText"/>
    <w:rsid w:val="00DC1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C0E"/>
    <w:rPr>
      <w:sz w:val="18"/>
    </w:rPr>
  </w:style>
  <w:style w:type="paragraph" w:customStyle="1" w:styleId="BodySmallRight">
    <w:name w:val="Body Small Right"/>
    <w:basedOn w:val="BodyTextRight"/>
    <w:rsid w:val="00DC1C0E"/>
    <w:rPr>
      <w:sz w:val="18"/>
      <w:szCs w:val="18"/>
    </w:rPr>
  </w:style>
  <w:style w:type="paragraph" w:customStyle="1" w:styleId="MarginEdition">
    <w:name w:val="Margin Edition"/>
    <w:basedOn w:val="MarginNote"/>
    <w:rsid w:val="00DC1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C0E"/>
    <w:rPr>
      <w:sz w:val="2"/>
      <w:szCs w:val="2"/>
    </w:rPr>
  </w:style>
  <w:style w:type="character" w:customStyle="1" w:styleId="Small">
    <w:name w:val="Small"/>
    <w:basedOn w:val="DefaultParagraphFont"/>
    <w:rsid w:val="00DC1C0E"/>
    <w:rPr>
      <w:sz w:val="16"/>
    </w:rPr>
  </w:style>
  <w:style w:type="paragraph" w:customStyle="1" w:styleId="WideTable">
    <w:name w:val="Wide Table"/>
    <w:basedOn w:val="Normal"/>
    <w:rsid w:val="00DC1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C0E"/>
  </w:style>
  <w:style w:type="paragraph" w:styleId="Quote">
    <w:name w:val="Quote"/>
    <w:basedOn w:val="Heading1"/>
    <w:link w:val="QuoteChar"/>
    <w:qFormat/>
    <w:rsid w:val="00DC1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C0E"/>
    <w:pPr>
      <w:pageBreakBefore/>
    </w:pPr>
  </w:style>
  <w:style w:type="paragraph" w:customStyle="1" w:styleId="Border">
    <w:name w:val="Border"/>
    <w:basedOn w:val="Normal"/>
    <w:qFormat/>
    <w:rsid w:val="00DC1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C0E"/>
    <w:rPr>
      <w:u w:val="single"/>
    </w:rPr>
  </w:style>
  <w:style w:type="character" w:customStyle="1" w:styleId="BoldandItalics">
    <w:name w:val="Bold and Italics"/>
    <w:qFormat/>
    <w:rsid w:val="00DC1C0E"/>
    <w:rPr>
      <w:b/>
      <w:i/>
      <w:u w:val="none"/>
    </w:rPr>
  </w:style>
  <w:style w:type="paragraph" w:styleId="BalloonText">
    <w:name w:val="Balloon Text"/>
    <w:basedOn w:val="Normal"/>
    <w:link w:val="BalloonTextChar"/>
    <w:rsid w:val="00DC1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C0E"/>
    <w:pPr>
      <w:spacing w:before="0" w:after="0"/>
    </w:pPr>
  </w:style>
  <w:style w:type="paragraph" w:customStyle="1" w:styleId="BodyTextBold">
    <w:name w:val="Body Text Bold"/>
    <w:basedOn w:val="BodyText"/>
    <w:qFormat/>
    <w:rsid w:val="00DC1C0E"/>
    <w:rPr>
      <w:b/>
    </w:rPr>
  </w:style>
  <w:style w:type="character" w:styleId="Hyperlink">
    <w:name w:val="Hyperlink"/>
    <w:basedOn w:val="DefaultParagraphFont"/>
    <w:uiPriority w:val="99"/>
    <w:unhideWhenUsed/>
    <w:rsid w:val="00C17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1191</Words>
  <Characters>7731</Characters>
  <Application>Microsoft Office Word</Application>
  <DocSecurity>0</DocSecurity>
  <Lines>351</Lines>
  <Paragraphs>207</Paragraphs>
  <ScaleCrop>false</ScaleCrop>
  <Company>Author-it Software Corporation Ltd.</Company>
  <LinksUpToDate>false</LinksUpToDate>
  <CharactersWithSpaces>8715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MEM21006 Service quartz watches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