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401" w:rsidP="008114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MEM21006 Service quartz watches</w:t>
      </w:r>
      <w:r>
        <w:fldChar w:fldCharType="end"/>
      </w:r>
    </w:p>
    <w:p w:rsidR="00811401" w:rsidP="00811401">
      <w:pPr>
        <w:pStyle w:val="Version"/>
        <w:sectPr w:rsidSect="004570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070" w:rsidP="00457070">
      <w:pPr>
        <w:pStyle w:val="SuperHeading"/>
      </w:pPr>
      <w:r w:rsidRPr="00457070">
        <w:t>Assessment Requirements for MEM21006 Service quartz watches</w:t>
      </w:r>
    </w:p>
    <w:p w:rsidR="00000000" w:rsidRPr="00457070" w:rsidP="00457070">
      <w:pPr>
        <w:pStyle w:val="Heading1"/>
      </w:pPr>
      <w:bookmarkStart w:id="1" w:name="O_951213"/>
      <w:bookmarkEnd w:id="1"/>
      <w:r w:rsidRPr="00457070">
        <w:t>Modification History</w:t>
      </w:r>
    </w:p>
    <w:p w:rsidR="00000000" w:rsidRPr="00457070" w:rsidP="00811401">
      <w:pPr>
        <w:pStyle w:val="BodyText"/>
      </w:pPr>
      <w:r w:rsidRPr="00457070">
        <w:t xml:space="preserve">Release 1. Supersedes and is equivalent to MEM21006A Service quartz watches </w:t>
      </w:r>
    </w:p>
    <w:p w:rsidR="00000000" w:rsidRPr="00457070" w:rsidP="00457070">
      <w:pPr>
        <w:pStyle w:val="Heading1"/>
      </w:pPr>
      <w:bookmarkStart w:id="2" w:name="O_951216"/>
      <w:bookmarkEnd w:id="2"/>
      <w:r w:rsidRPr="00457070">
        <w:t>Performance Evidence</w:t>
      </w:r>
    </w:p>
    <w:p w:rsidR="00000000" w:rsidRPr="00457070" w:rsidP="00811401">
      <w:pPr>
        <w:pStyle w:val="BodyText"/>
      </w:pPr>
      <w:r w:rsidRPr="00457070">
        <w:t>Evidence required to demonstrate competence in this unit must be relevant to and satisfy the requirement</w:t>
      </w:r>
      <w:r w:rsidRPr="00457070">
        <w:t>s of the elements and performance criteria on at least two (2) occasions and include:</w:t>
      </w:r>
    </w:p>
    <w:p w:rsidR="00000000" w:rsidRPr="00457070" w:rsidP="00457070">
      <w:pPr>
        <w:pStyle w:val="ListBullet"/>
      </w:pPr>
      <w:r w:rsidRPr="00457070">
        <w:t xml:space="preserve">following work instructions, standard operating procedures (SOPs) and safe work practices </w:t>
      </w:r>
    </w:p>
    <w:p w:rsidR="00000000" w:rsidRPr="00457070" w:rsidP="00457070">
      <w:pPr>
        <w:pStyle w:val="ListBullet"/>
      </w:pPr>
      <w:r w:rsidRPr="00457070">
        <w:t>liaising with customer and verifying condition and performance, identifying se</w:t>
      </w:r>
      <w:r w:rsidRPr="00457070">
        <w:t>rvice costs, and recording and documenting repair process</w:t>
      </w:r>
    </w:p>
    <w:p w:rsidR="00000000" w:rsidRPr="00457070" w:rsidP="00457070">
      <w:pPr>
        <w:pStyle w:val="ListBullet"/>
      </w:pPr>
      <w:r w:rsidRPr="00457070">
        <w:t xml:space="preserve">diagnosing and fault finding quartz analog and digital watches in an appropriate work environment </w:t>
      </w:r>
    </w:p>
    <w:p w:rsidR="00000000" w:rsidRPr="00457070" w:rsidP="00457070">
      <w:pPr>
        <w:pStyle w:val="ListBullet"/>
      </w:pPr>
      <w:r w:rsidRPr="00457070">
        <w:t>dismantling and reassembling quartz watch digital modules, movements, gear trains and sub-assemblie</w:t>
      </w:r>
      <w:r w:rsidRPr="00457070">
        <w:t xml:space="preserve">s using appropriate workshop tools and equipment </w:t>
      </w:r>
    </w:p>
    <w:p w:rsidR="00000000" w:rsidRPr="00457070" w:rsidP="00457070">
      <w:pPr>
        <w:pStyle w:val="ListBullet"/>
      </w:pPr>
      <w:r w:rsidRPr="00457070">
        <w:t xml:space="preserve">using appropriate watch movement/components cleaning techniques without damage or marking to case movement and components </w:t>
      </w:r>
    </w:p>
    <w:p w:rsidR="00000000" w:rsidRPr="00457070" w:rsidP="00457070">
      <w:pPr>
        <w:pStyle w:val="ListBullet"/>
      </w:pPr>
      <w:r w:rsidRPr="00457070">
        <w:t>applying correct type and amount of lubrication according to manufacturers’ specifi</w:t>
      </w:r>
      <w:r w:rsidRPr="00457070">
        <w:t>cations</w:t>
      </w:r>
    </w:p>
    <w:p w:rsidR="00000000" w:rsidRPr="00457070" w:rsidP="00457070">
      <w:pPr>
        <w:pStyle w:val="ListBullet"/>
      </w:pPr>
      <w:r w:rsidRPr="00457070">
        <w:t>performing watch function and electrical performance testing, including current consumption, according to manufacturer specifications and rate testing.</w:t>
      </w:r>
    </w:p>
    <w:p w:rsidR="00000000" w:rsidRPr="00457070" w:rsidP="00457070">
      <w:pPr>
        <w:pStyle w:val="AllowPageBreak"/>
      </w:pPr>
    </w:p>
    <w:p w:rsidR="00000000" w:rsidRPr="00457070" w:rsidP="00457070">
      <w:pPr>
        <w:pStyle w:val="Heading1"/>
      </w:pPr>
      <w:bookmarkStart w:id="3" w:name="O_951215"/>
      <w:bookmarkEnd w:id="3"/>
      <w:r w:rsidRPr="00457070">
        <w:t>Knowledge Evidence</w:t>
      </w:r>
    </w:p>
    <w:p w:rsidR="00000000" w:rsidRPr="00457070" w:rsidP="00811401">
      <w:pPr>
        <w:pStyle w:val="BodyText"/>
      </w:pPr>
      <w:r w:rsidRPr="00457070">
        <w:t xml:space="preserve">Evidence required to demonstrate the required knowledge for </w:t>
      </w:r>
      <w:r w:rsidRPr="00457070">
        <w:t>this unit must be relevant to and satisfy the requirements of the elements and performance criteria and include knowledge of:</w:t>
      </w:r>
    </w:p>
    <w:p w:rsidR="00000000" w:rsidRPr="00457070" w:rsidP="00457070">
      <w:pPr>
        <w:pStyle w:val="ListBullet"/>
      </w:pPr>
      <w:r w:rsidRPr="00457070">
        <w:t>safe work practices and procedures and use of personal protective equipment (PPE)</w:t>
      </w:r>
    </w:p>
    <w:p w:rsidR="00000000" w:rsidRPr="00457070" w:rsidP="00457070">
      <w:pPr>
        <w:pStyle w:val="ListBullet"/>
      </w:pPr>
      <w:r w:rsidRPr="00457070">
        <w:t xml:space="preserve">quartz watch construction and components (i.e. </w:t>
      </w:r>
      <w:r w:rsidRPr="00457070">
        <w:t>analog, digital and duo displays)</w:t>
      </w:r>
    </w:p>
    <w:p w:rsidR="00000000" w:rsidRPr="00457070" w:rsidP="00457070">
      <w:pPr>
        <w:pStyle w:val="ListBullet"/>
      </w:pPr>
      <w:r w:rsidRPr="00457070">
        <w:t>quartz watch operating principles (analog and digital)</w:t>
      </w:r>
    </w:p>
    <w:p w:rsidR="00000000" w:rsidRPr="00457070" w:rsidP="00457070">
      <w:pPr>
        <w:pStyle w:val="ListBullet"/>
      </w:pPr>
      <w:r w:rsidRPr="00457070">
        <w:t>quartz watch lubrication techniques</w:t>
      </w:r>
    </w:p>
    <w:p w:rsidR="00000000" w:rsidRPr="00457070" w:rsidP="00457070">
      <w:pPr>
        <w:pStyle w:val="ListBullet"/>
      </w:pPr>
      <w:r w:rsidRPr="00457070">
        <w:t>watch case and band construction and components</w:t>
      </w:r>
    </w:p>
    <w:p w:rsidR="00000000" w:rsidRPr="00457070" w:rsidP="00457070">
      <w:pPr>
        <w:pStyle w:val="ListBullet"/>
      </w:pPr>
      <w:r w:rsidRPr="00457070">
        <w:t>testing procedures to confirm watch function</w:t>
      </w:r>
    </w:p>
    <w:p w:rsidR="00000000" w:rsidRPr="00457070" w:rsidP="00457070">
      <w:pPr>
        <w:pStyle w:val="ListBullet"/>
      </w:pPr>
      <w:r w:rsidRPr="00457070">
        <w:t>watch servicing requirements</w:t>
      </w:r>
    </w:p>
    <w:p w:rsidR="00000000" w:rsidRPr="00457070" w:rsidP="00457070">
      <w:pPr>
        <w:pStyle w:val="ListBullet"/>
      </w:pPr>
      <w:r w:rsidRPr="00457070">
        <w:t>repair process recording procedures</w:t>
      </w:r>
    </w:p>
    <w:p w:rsidR="00000000" w:rsidRPr="00457070" w:rsidP="00457070">
      <w:pPr>
        <w:pStyle w:val="ListBullet"/>
      </w:pPr>
      <w:r w:rsidRPr="00457070">
        <w:t>watch handover procedures</w:t>
      </w:r>
    </w:p>
    <w:p w:rsidR="00000000" w:rsidRPr="00457070" w:rsidP="00457070">
      <w:pPr>
        <w:pStyle w:val="ListBullet"/>
      </w:pPr>
      <w:r w:rsidRPr="00457070">
        <w:t>client liaison techniques</w:t>
      </w:r>
    </w:p>
    <w:p w:rsidR="00000000" w:rsidRPr="00457070" w:rsidP="00457070">
      <w:pPr>
        <w:pStyle w:val="ListBullet"/>
      </w:pPr>
      <w:r w:rsidRPr="00457070">
        <w:t>power sources</w:t>
      </w:r>
    </w:p>
    <w:p w:rsidR="00000000" w:rsidRPr="00457070" w:rsidP="00457070">
      <w:pPr>
        <w:pStyle w:val="ListBullet"/>
      </w:pPr>
      <w:r w:rsidRPr="00457070">
        <w:t>power cells, batteries, capacitors and electronic storage units.</w:t>
      </w:r>
    </w:p>
    <w:p w:rsidR="00000000" w:rsidRPr="00457070" w:rsidP="00457070">
      <w:pPr>
        <w:pStyle w:val="AllowPageBreak"/>
      </w:pPr>
    </w:p>
    <w:p w:rsidR="00000000" w:rsidRPr="00457070" w:rsidP="00457070">
      <w:pPr>
        <w:pStyle w:val="Heading1"/>
      </w:pPr>
      <w:bookmarkStart w:id="4" w:name="O_951214"/>
      <w:bookmarkEnd w:id="4"/>
      <w:r w:rsidRPr="00457070">
        <w:t>Assessment Conditions</w:t>
      </w:r>
    </w:p>
    <w:p w:rsidR="00000000" w:rsidRPr="00457070" w:rsidP="00457070">
      <w:pPr>
        <w:pStyle w:val="ListBullet"/>
      </w:pPr>
      <w:r w:rsidRPr="00457070">
        <w:t>Assessors must:</w:t>
      </w:r>
    </w:p>
    <w:p w:rsidR="00000000" w:rsidRPr="00457070" w:rsidP="00457070">
      <w:pPr>
        <w:pStyle w:val="ListBullet2"/>
      </w:pPr>
      <w:r w:rsidRPr="00457070">
        <w:t>have vocational competency in se</w:t>
      </w:r>
      <w:r w:rsidRPr="00457070">
        <w:t>rvicing quartz watches at least to the level being assessed with relevant industry knowledge and experience</w:t>
      </w:r>
    </w:p>
    <w:p w:rsidR="00000000" w:rsidRPr="00457070" w:rsidP="00457070">
      <w:pPr>
        <w:pStyle w:val="ListBullet2"/>
      </w:pPr>
      <w:r w:rsidRPr="00457070">
        <w:t xml:space="preserve">satisfy the assessor requirements in the </w:t>
      </w:r>
      <w:r w:rsidRPr="00457070">
        <w:rPr>
          <w:rStyle w:val="Emphasis"/>
        </w:rPr>
        <w:t xml:space="preserve">Standards for Registered Training Organisations 2015 </w:t>
      </w:r>
      <w:r w:rsidRPr="00457070">
        <w:t>or its replacement</w:t>
      </w:r>
      <w:r w:rsidRPr="00457070">
        <w:rPr>
          <w:rStyle w:val="Emphasis"/>
        </w:rPr>
        <w:t xml:space="preserve"> </w:t>
      </w:r>
      <w:r w:rsidRPr="00457070">
        <w:t xml:space="preserve">and comply with the </w:t>
      </w:r>
      <w:r w:rsidRPr="00457070">
        <w:rPr>
          <w:rStyle w:val="Emphasis"/>
        </w:rPr>
        <w:t>National Vocati</w:t>
      </w:r>
      <w:r w:rsidRPr="00457070">
        <w:rPr>
          <w:rStyle w:val="Emphasis"/>
        </w:rPr>
        <w:t xml:space="preserve">onal Education and Training Regulator Act 2011, </w:t>
      </w:r>
      <w:r w:rsidRPr="00457070">
        <w:t>its replacement</w:t>
      </w:r>
      <w:r w:rsidRPr="00457070">
        <w:rPr>
          <w:rStyle w:val="Emphasis"/>
        </w:rPr>
        <w:t xml:space="preserve"> </w:t>
      </w:r>
      <w:r w:rsidRPr="00457070">
        <w:t>or equivalent legislation covering VET regulation in a non-referring state/territory as the case requires</w:t>
      </w:r>
    </w:p>
    <w:p w:rsidR="00000000" w:rsidRPr="00457070" w:rsidP="00457070">
      <w:pPr>
        <w:pStyle w:val="ListBullet"/>
      </w:pPr>
      <w:r w:rsidRPr="00457070">
        <w:t xml:space="preserve">Where possible assessment must occur in operational workplace situations. Where this </w:t>
      </w:r>
      <w:r w:rsidRPr="00457070">
        <w:t>is not possible or where personal safety or environmental damage are limiting factors, assessment must occur in a sufficiently rigorous simulated environment that reflects realistic operational workplace conditions. This must cover all aspects of workplace</w:t>
      </w:r>
      <w:r w:rsidRPr="00457070">
        <w:t xml:space="preserve"> performance, including environment, task skills, task management skills, contingency management skills and job role environment skills</w:t>
      </w:r>
    </w:p>
    <w:p w:rsidR="00000000" w:rsidRPr="00457070" w:rsidP="00457070">
      <w:pPr>
        <w:pStyle w:val="ListBullet"/>
      </w:pPr>
      <w:r w:rsidRPr="00457070">
        <w:t>Conditions for assessment must include access to all tools, equipment, materials and documentation required, including r</w:t>
      </w:r>
      <w:r w:rsidRPr="00457070">
        <w:t>elevant workplace procedures, product and manufacturing specifications</w:t>
      </w:r>
    </w:p>
    <w:p w:rsidR="00000000" w:rsidRPr="00457070" w:rsidP="00457070">
      <w:pPr>
        <w:pStyle w:val="ListBullet"/>
      </w:pPr>
      <w:r w:rsidRPr="00457070">
        <w:t>Assessment processes and techniques must be appropriate to the language, literacy and numeracy requirements of the work being performed and the needs of the candidate.</w:t>
      </w:r>
    </w:p>
    <w:p w:rsidR="00000000" w:rsidRPr="00457070" w:rsidP="00457070">
      <w:pPr>
        <w:pStyle w:val="AllowPageBreak"/>
      </w:pPr>
    </w:p>
    <w:p w:rsidR="00000000" w:rsidRPr="00457070" w:rsidP="00457070">
      <w:pPr>
        <w:pStyle w:val="Heading1"/>
      </w:pPr>
      <w:bookmarkStart w:id="5" w:name="O_951212"/>
      <w:bookmarkEnd w:id="5"/>
      <w:r w:rsidRPr="00457070">
        <w:t>Links</w:t>
      </w:r>
    </w:p>
    <w:p w:rsidR="00000000" w:rsidRPr="00457070" w:rsidP="00811401">
      <w:pPr>
        <w:pStyle w:val="BodyText"/>
      </w:pPr>
      <w:r w:rsidRPr="004570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D4F7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57070" w:rsidP="00457070"/>
    <w:sectPr w:rsidSect="004570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70" w:rsidRPr="00811401" w:rsidP="008114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01" w:rsidP="004570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1401" w:rsidP="004570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1401" w:rsidP="004570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070" w:rsidRPr="00811401" w:rsidP="008114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01" w:rsidRPr="002D2AF8" w:rsidP="004570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MEM21006 Service quartz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11401" w:rsidP="004570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2261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7A4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000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0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0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0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0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0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0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0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0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0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0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0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070"/>
  </w:style>
  <w:style w:type="character" w:customStyle="1" w:styleId="Heading1Char">
    <w:name w:val="Heading 1 Char"/>
    <w:basedOn w:val="DefaultParagraphFont"/>
    <w:link w:val="Heading1"/>
    <w:rsid w:val="004570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0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0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0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70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7070"/>
    <w:rPr>
      <w:i/>
    </w:rPr>
  </w:style>
  <w:style w:type="paragraph" w:customStyle="1" w:styleId="SuperHeading">
    <w:name w:val="SuperHeading"/>
    <w:basedOn w:val="Normal"/>
    <w:rsid w:val="004570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0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0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0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0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0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0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0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0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0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0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0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0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0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0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0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0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0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7070"/>
    <w:rPr>
      <w:b/>
      <w:spacing w:val="0"/>
    </w:rPr>
  </w:style>
  <w:style w:type="paragraph" w:customStyle="1" w:styleId="SuperTitle">
    <w:name w:val="SuperTitle"/>
    <w:basedOn w:val="Title"/>
    <w:rsid w:val="004570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0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0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0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0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0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0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0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0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0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0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0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70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0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0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070"/>
  </w:style>
  <w:style w:type="paragraph" w:styleId="TableofFigures">
    <w:name w:val="table of figures"/>
    <w:basedOn w:val="Normal"/>
    <w:next w:val="Normal"/>
    <w:semiHidden/>
    <w:rsid w:val="004570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0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7070"/>
    <w:rPr>
      <w:rFonts w:ascii="Wingdings" w:hAnsi="Wingdings"/>
    </w:rPr>
  </w:style>
  <w:style w:type="paragraph" w:customStyle="1" w:styleId="TableHeading">
    <w:name w:val="Table Heading"/>
    <w:basedOn w:val="HeadingBase"/>
    <w:rsid w:val="004570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070"/>
    <w:rPr>
      <w:color w:val="0033CC"/>
      <w:u w:val="none"/>
    </w:rPr>
  </w:style>
  <w:style w:type="paragraph" w:customStyle="1" w:styleId="BodyTextRight">
    <w:name w:val="Body Text Right"/>
    <w:basedOn w:val="BodyText"/>
    <w:rsid w:val="004570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0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0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0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0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0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070"/>
    <w:rPr>
      <w:sz w:val="32"/>
    </w:rPr>
  </w:style>
  <w:style w:type="paragraph" w:customStyle="1" w:styleId="HeadingProcedure">
    <w:name w:val="Heading Procedure"/>
    <w:basedOn w:val="HeadingBase"/>
    <w:next w:val="Normal"/>
    <w:rsid w:val="004570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070"/>
    <w:pPr>
      <w:spacing w:before="60" w:after="60"/>
    </w:pPr>
  </w:style>
  <w:style w:type="paragraph" w:styleId="ListContinue">
    <w:name w:val="List Continue"/>
    <w:basedOn w:val="List"/>
    <w:rsid w:val="00457070"/>
    <w:pPr>
      <w:ind w:firstLine="0"/>
    </w:pPr>
  </w:style>
  <w:style w:type="paragraph" w:customStyle="1" w:styleId="ListNote">
    <w:name w:val="List Note"/>
    <w:basedOn w:val="List"/>
    <w:rsid w:val="004570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0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0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070"/>
    <w:rPr>
      <w:rFonts w:ascii="Courier New" w:hAnsi="Courier New"/>
    </w:rPr>
  </w:style>
  <w:style w:type="paragraph" w:customStyle="1" w:styleId="NoteBullet">
    <w:name w:val="Note Bullet"/>
    <w:basedOn w:val="Note"/>
    <w:rsid w:val="004570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0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0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0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0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70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0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070"/>
    <w:rPr>
      <w:b/>
      <w:smallCaps/>
    </w:rPr>
  </w:style>
  <w:style w:type="paragraph" w:customStyle="1" w:styleId="TableListNumber">
    <w:name w:val="Table List Number"/>
    <w:basedOn w:val="ListNumber"/>
    <w:rsid w:val="004570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0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070"/>
    <w:pPr>
      <w:numPr>
        <w:numId w:val="9"/>
      </w:numPr>
    </w:pPr>
  </w:style>
  <w:style w:type="paragraph" w:customStyle="1" w:styleId="ListAlpha2">
    <w:name w:val="List Alpha 2"/>
    <w:basedOn w:val="List2"/>
    <w:rsid w:val="00457070"/>
    <w:pPr>
      <w:numPr>
        <w:numId w:val="8"/>
      </w:numPr>
    </w:pPr>
  </w:style>
  <w:style w:type="paragraph" w:styleId="List2">
    <w:name w:val="List 2"/>
    <w:basedOn w:val="BodyText"/>
    <w:rsid w:val="004570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0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0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0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0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0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7070"/>
    <w:pPr>
      <w:numPr>
        <w:numId w:val="4"/>
      </w:numPr>
    </w:pPr>
  </w:style>
  <w:style w:type="paragraph" w:styleId="ListContinue2">
    <w:name w:val="List Continue 2"/>
    <w:basedOn w:val="List2"/>
    <w:rsid w:val="00457070"/>
    <w:pPr>
      <w:ind w:firstLine="0"/>
    </w:pPr>
  </w:style>
  <w:style w:type="paragraph" w:styleId="ListContinue3">
    <w:name w:val="List Continue 3"/>
    <w:basedOn w:val="List3"/>
    <w:rsid w:val="00457070"/>
    <w:pPr>
      <w:ind w:left="1021" w:firstLine="0"/>
    </w:pPr>
  </w:style>
  <w:style w:type="paragraph" w:styleId="ListContinue4">
    <w:name w:val="List Continue 4"/>
    <w:basedOn w:val="List4"/>
    <w:rsid w:val="00457070"/>
    <w:pPr>
      <w:ind w:firstLine="0"/>
    </w:pPr>
  </w:style>
  <w:style w:type="paragraph" w:styleId="ListContinue5">
    <w:name w:val="List Continue 5"/>
    <w:basedOn w:val="List5"/>
    <w:rsid w:val="00457070"/>
    <w:pPr>
      <w:ind w:firstLine="0"/>
    </w:pPr>
  </w:style>
  <w:style w:type="paragraph" w:styleId="ListNumber3">
    <w:name w:val="List Number 3"/>
    <w:basedOn w:val="List3"/>
    <w:rsid w:val="00457070"/>
    <w:pPr>
      <w:numPr>
        <w:numId w:val="5"/>
      </w:numPr>
    </w:pPr>
  </w:style>
  <w:style w:type="paragraph" w:styleId="ListNumber4">
    <w:name w:val="List Number 4"/>
    <w:basedOn w:val="List4"/>
    <w:rsid w:val="00457070"/>
    <w:pPr>
      <w:numPr>
        <w:numId w:val="6"/>
      </w:numPr>
    </w:pPr>
  </w:style>
  <w:style w:type="paragraph" w:styleId="ListNumber5">
    <w:name w:val="List Number 5"/>
    <w:basedOn w:val="List5"/>
    <w:rsid w:val="00457070"/>
    <w:pPr>
      <w:numPr>
        <w:numId w:val="7"/>
      </w:numPr>
    </w:pPr>
  </w:style>
  <w:style w:type="paragraph" w:styleId="BlockText">
    <w:name w:val="Block Text"/>
    <w:basedOn w:val="Normal"/>
    <w:rsid w:val="004570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0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070"/>
    <w:rPr>
      <w:sz w:val="16"/>
      <w:vertAlign w:val="superscript"/>
    </w:rPr>
  </w:style>
  <w:style w:type="character" w:customStyle="1" w:styleId="Symbols">
    <w:name w:val="Symbols"/>
    <w:basedOn w:val="DefaultParagraphFont"/>
    <w:rsid w:val="00457070"/>
    <w:rPr>
      <w:rFonts w:ascii="Symbol" w:hAnsi="Symbol"/>
    </w:rPr>
  </w:style>
  <w:style w:type="character" w:customStyle="1" w:styleId="MenuOptions">
    <w:name w:val="Menu Options"/>
    <w:basedOn w:val="DefaultParagraphFont"/>
    <w:rsid w:val="004570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070"/>
    <w:rPr>
      <w:b/>
    </w:rPr>
  </w:style>
  <w:style w:type="character" w:customStyle="1" w:styleId="Underlined">
    <w:name w:val="Underlined"/>
    <w:basedOn w:val="DefaultParagraphFont"/>
    <w:rsid w:val="00457070"/>
    <w:rPr>
      <w:u w:val="single"/>
    </w:rPr>
  </w:style>
  <w:style w:type="paragraph" w:customStyle="1" w:styleId="TableBodyTextRight">
    <w:name w:val="Table Body Text Right"/>
    <w:basedOn w:val="TableBodyText"/>
    <w:rsid w:val="004570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070"/>
    <w:rPr>
      <w:sz w:val="18"/>
    </w:rPr>
  </w:style>
  <w:style w:type="paragraph" w:customStyle="1" w:styleId="BodySmallRight">
    <w:name w:val="Body Small Right"/>
    <w:basedOn w:val="BodyTextRight"/>
    <w:rsid w:val="00457070"/>
    <w:rPr>
      <w:sz w:val="18"/>
      <w:szCs w:val="18"/>
    </w:rPr>
  </w:style>
  <w:style w:type="paragraph" w:customStyle="1" w:styleId="MarginEdition">
    <w:name w:val="Margin Edition"/>
    <w:basedOn w:val="MarginNote"/>
    <w:rsid w:val="004570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070"/>
    <w:rPr>
      <w:sz w:val="2"/>
      <w:szCs w:val="2"/>
    </w:rPr>
  </w:style>
  <w:style w:type="character" w:customStyle="1" w:styleId="Small">
    <w:name w:val="Small"/>
    <w:basedOn w:val="DefaultParagraphFont"/>
    <w:rsid w:val="00457070"/>
    <w:rPr>
      <w:sz w:val="16"/>
    </w:rPr>
  </w:style>
  <w:style w:type="paragraph" w:customStyle="1" w:styleId="WideTable">
    <w:name w:val="Wide Table"/>
    <w:basedOn w:val="Normal"/>
    <w:rsid w:val="004570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070"/>
  </w:style>
  <w:style w:type="paragraph" w:styleId="Quote">
    <w:name w:val="Quote"/>
    <w:basedOn w:val="Heading1"/>
    <w:link w:val="QuoteChar"/>
    <w:qFormat/>
    <w:rsid w:val="004570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0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070"/>
    <w:pPr>
      <w:pageBreakBefore/>
    </w:pPr>
  </w:style>
  <w:style w:type="paragraph" w:customStyle="1" w:styleId="Border">
    <w:name w:val="Border"/>
    <w:basedOn w:val="Normal"/>
    <w:qFormat/>
    <w:rsid w:val="004570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0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0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0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0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0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0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0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0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070"/>
    <w:rPr>
      <w:u w:val="single"/>
    </w:rPr>
  </w:style>
  <w:style w:type="character" w:customStyle="1" w:styleId="BoldandItalics">
    <w:name w:val="Bold and Italics"/>
    <w:qFormat/>
    <w:rsid w:val="00457070"/>
    <w:rPr>
      <w:b/>
      <w:i/>
      <w:u w:val="none"/>
    </w:rPr>
  </w:style>
  <w:style w:type="paragraph" w:styleId="BalloonText">
    <w:name w:val="Balloon Text"/>
    <w:basedOn w:val="Normal"/>
    <w:link w:val="BalloonTextChar"/>
    <w:rsid w:val="00457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0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0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0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0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0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070"/>
    <w:pPr>
      <w:spacing w:before="0" w:after="0"/>
    </w:pPr>
  </w:style>
  <w:style w:type="paragraph" w:customStyle="1" w:styleId="BodyTextBold">
    <w:name w:val="Body Text Bold"/>
    <w:basedOn w:val="BodyText"/>
    <w:qFormat/>
    <w:rsid w:val="00457070"/>
    <w:rPr>
      <w:b/>
    </w:rPr>
  </w:style>
  <w:style w:type="character" w:styleId="Hyperlink">
    <w:name w:val="Hyperlink"/>
    <w:basedOn w:val="DefaultParagraphFont"/>
    <w:uiPriority w:val="99"/>
    <w:unhideWhenUsed/>
    <w:rsid w:val="008114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3217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MEM21006 Service quartz watches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