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F49" w:rsidP="00F33F49">
      <w:pPr>
        <w:pStyle w:val="Title"/>
      </w:pPr>
      <w:r>
        <w:fldChar w:fldCharType="begin"/>
      </w:r>
      <w:r>
        <w:instrText xml:space="preserve"> TITLE   \* MERGEFORMAT </w:instrText>
      </w:r>
      <w:r>
        <w:fldChar w:fldCharType="separate"/>
      </w:r>
      <w:r>
        <w:t>MEM21005 Diagnose faults in quartz watches</w:t>
      </w:r>
      <w:r>
        <w:fldChar w:fldCharType="end"/>
      </w:r>
    </w:p>
    <w:p w:rsidR="00F33F49" w:rsidP="00F33F49">
      <w:pPr>
        <w:pStyle w:val="Version"/>
        <w:sectPr w:rsidSect="00C551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1A0" w:rsidP="00C551A0">
      <w:pPr>
        <w:pStyle w:val="SuperHeading"/>
      </w:pPr>
      <w:r w:rsidRPr="00C551A0">
        <w:t>MEM21005 Diagnose faults in quartz watches</w:t>
      </w:r>
    </w:p>
    <w:p w:rsidR="00000000" w:rsidRPr="00C551A0" w:rsidP="00C551A0">
      <w:pPr>
        <w:pStyle w:val="Heading1"/>
      </w:pPr>
      <w:bookmarkStart w:id="1" w:name="O_951198"/>
      <w:bookmarkEnd w:id="1"/>
      <w:r w:rsidRPr="00C551A0">
        <w:t>Modification History</w:t>
      </w:r>
    </w:p>
    <w:p w:rsidR="00000000" w:rsidRPr="00C551A0" w:rsidP="00F33F49">
      <w:pPr>
        <w:pStyle w:val="BodyText"/>
      </w:pPr>
      <w:r w:rsidRPr="00C551A0">
        <w:t xml:space="preserve">Release 1. Supersedes and is equivalent to MEM21005A Diagnose faults in quartz watches </w:t>
      </w:r>
    </w:p>
    <w:p w:rsidR="00000000" w:rsidRPr="00C551A0" w:rsidP="00C551A0">
      <w:pPr>
        <w:pStyle w:val="Heading1"/>
      </w:pPr>
      <w:bookmarkStart w:id="2" w:name="O_951206"/>
      <w:bookmarkEnd w:id="2"/>
      <w:r w:rsidRPr="00C551A0">
        <w:t>Application</w:t>
      </w:r>
    </w:p>
    <w:p w:rsidR="00000000" w:rsidRPr="00C551A0" w:rsidP="00F33F49">
      <w:pPr>
        <w:pStyle w:val="BodyText"/>
      </w:pPr>
      <w:r w:rsidRPr="00C551A0">
        <w:t>This unit of competency defines the skills and knowledge required to test and diagnose faults in electronic quartz wat</w:t>
      </w:r>
      <w:r w:rsidRPr="00C551A0">
        <w:t>ches.</w:t>
      </w:r>
    </w:p>
    <w:p w:rsidR="00000000" w:rsidRPr="00C551A0" w:rsidP="00F33F49">
      <w:pPr>
        <w:pStyle w:val="BodyText"/>
      </w:pPr>
      <w:r w:rsidRPr="00C551A0">
        <w:t>It applies to diagnosing faults where the power cell performance has already been tested and its condition is assessed as good or the correct terminal voltage under load, but the watch continues to indicate faults or is stopped.</w:t>
      </w:r>
    </w:p>
    <w:p w:rsidR="00000000" w:rsidRPr="00C551A0" w:rsidP="00F33F49">
      <w:pPr>
        <w:pStyle w:val="BodyText"/>
      </w:pPr>
      <w:r w:rsidRPr="00C551A0">
        <w:t>No licensing, legis</w:t>
      </w:r>
      <w:r w:rsidRPr="00C551A0">
        <w:t>lative or certification requirements apply to this unit at the time of publication.</w:t>
      </w:r>
    </w:p>
    <w:p w:rsidR="00000000" w:rsidRPr="00C551A0" w:rsidP="00F33F49">
      <w:pPr>
        <w:pStyle w:val="Heading3"/>
      </w:pPr>
      <w:r w:rsidRPr="00C551A0">
        <w:rPr>
          <w:rStyle w:val="SpecialBold"/>
        </w:rPr>
        <w:t>Band:  A</w:t>
      </w:r>
    </w:p>
    <w:p w:rsidR="00000000" w:rsidRPr="00C551A0" w:rsidP="00F33F49">
      <w:pPr>
        <w:pStyle w:val="Heading3"/>
      </w:pPr>
      <w:r w:rsidRPr="00C551A0">
        <w:rPr>
          <w:rStyle w:val="SpecialBold"/>
        </w:rPr>
        <w:t xml:space="preserve">Unit weight:  2 </w:t>
      </w:r>
    </w:p>
    <w:p w:rsidR="00000000" w:rsidRPr="00C551A0" w:rsidP="00C551A0">
      <w:pPr>
        <w:pStyle w:val="Heading1"/>
      </w:pPr>
      <w:bookmarkStart w:id="3" w:name="O_951205"/>
      <w:bookmarkEnd w:id="3"/>
      <w:r w:rsidRPr="00C551A0">
        <w:t>Pre-requisite Unit</w:t>
      </w:r>
    </w:p>
    <w:tbl>
      <w:tblPr>
        <w:tblW w:w="0" w:type="auto"/>
        <w:tblLayout w:type="fixed"/>
        <w:tblCellMar>
          <w:left w:w="62" w:type="dxa"/>
          <w:right w:w="62" w:type="dxa"/>
        </w:tblCellMar>
        <w:tblLook w:val="0000"/>
      </w:tblPr>
      <w:tblGrid>
        <w:gridCol w:w="2186"/>
        <w:gridCol w:w="6886"/>
      </w:tblGrid>
      <w:tr w:rsidTr="00C551A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MEM13015</w:t>
            </w:r>
          </w:p>
        </w:tc>
        <w:tc>
          <w:tcPr>
            <w:tcW w:w="6886"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Work safely and effectively in manufacturing and engineering</w:t>
            </w:r>
          </w:p>
        </w:tc>
      </w:tr>
      <w:tr w:rsidTr="00C551A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MEM16006</w:t>
            </w:r>
          </w:p>
        </w:tc>
        <w:tc>
          <w:tcPr>
            <w:tcW w:w="6886"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Organise and communicate info</w:t>
            </w:r>
            <w:r w:rsidRPr="00C551A0">
              <w:t>rmation</w:t>
            </w:r>
          </w:p>
        </w:tc>
      </w:tr>
      <w:tr w:rsidTr="00C551A0">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MEM21001</w:t>
            </w:r>
          </w:p>
        </w:tc>
        <w:tc>
          <w:tcPr>
            <w:tcW w:w="6886" w:type="dxa"/>
            <w:tcBorders>
              <w:top w:val="nil"/>
              <w:left w:val="nil"/>
              <w:bottom w:val="nil"/>
              <w:right w:val="nil"/>
            </w:tcBorders>
            <w:tcMar>
              <w:top w:w="0" w:type="dxa"/>
              <w:left w:w="62" w:type="dxa"/>
              <w:bottom w:w="0" w:type="dxa"/>
              <w:right w:w="62" w:type="dxa"/>
            </w:tcMar>
          </w:tcPr>
          <w:p w:rsidR="00000000" w:rsidRPr="00C551A0" w:rsidP="00C551A0">
            <w:pPr>
              <w:pStyle w:val="BodyText"/>
            </w:pPr>
            <w:r w:rsidRPr="00C551A0">
              <w:t>Replace watch batteries, capacitors and bands</w:t>
            </w:r>
          </w:p>
        </w:tc>
      </w:tr>
    </w:tbl>
    <w:p w:rsidR="00000000" w:rsidRPr="00C551A0" w:rsidP="00C551A0">
      <w:pPr>
        <w:pStyle w:val="BodyText"/>
      </w:pPr>
    </w:p>
    <w:p w:rsidR="00000000" w:rsidRPr="00C551A0" w:rsidP="00C551A0">
      <w:pPr>
        <w:pStyle w:val="AllowPageBreak"/>
      </w:pPr>
    </w:p>
    <w:p w:rsidR="00000000" w:rsidRPr="00C551A0" w:rsidP="00C551A0">
      <w:pPr>
        <w:pStyle w:val="Heading1"/>
      </w:pPr>
      <w:bookmarkStart w:id="4" w:name="O_951204"/>
      <w:bookmarkEnd w:id="4"/>
      <w:r w:rsidRPr="00C551A0">
        <w:t>Competency Field</w:t>
      </w:r>
    </w:p>
    <w:p w:rsidR="00000000" w:rsidRPr="00C551A0" w:rsidP="00F33F49">
      <w:pPr>
        <w:pStyle w:val="BodyText"/>
      </w:pPr>
      <w:r w:rsidRPr="00C551A0">
        <w:t>Horology</w:t>
      </w:r>
    </w:p>
    <w:p w:rsidR="00000000" w:rsidRPr="00C551A0" w:rsidP="00C551A0">
      <w:pPr>
        <w:pStyle w:val="Heading1"/>
      </w:pPr>
      <w:bookmarkStart w:id="5" w:name="O_951202"/>
      <w:bookmarkEnd w:id="5"/>
      <w:r w:rsidRPr="00C551A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551A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Performance criteria describe the performance needed to demonstrate achievement of the element.</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51A0" w:rsidP="00C551A0">
            <w:pPr>
              <w:pStyle w:val="BodyText"/>
            </w:pPr>
            <w:r w:rsidRPr="00C551A0">
              <w:t>1</w:t>
            </w:r>
          </w:p>
        </w:tc>
        <w:tc>
          <w:tcPr>
            <w:tcW w:w="1986" w:type="dxa"/>
            <w:vMerge w:val="restart"/>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 xml:space="preserve">Determine job </w:t>
            </w:r>
            <w:r w:rsidRPr="00C551A0">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1.1</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Follow standard operating procedures (SOPs)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1.2</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Comply with work health and safety (WHS) requirements at all times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1.3</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Select and use appropriate personal protective equipment (PPE) in accordance with SOPs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1.4</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Identify job requirements from specifications, job sheets or work instructions</w:t>
            </w:r>
          </w:p>
        </w:tc>
      </w:tr>
      <w:tr w:rsidTr="00C551A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551A0">
            <w:pPr>
              <w:pStyle w:val="BodyText"/>
              <w:rPr>
                <w:lang w:val="en-NZ"/>
              </w:rPr>
            </w:pP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51A0" w:rsidP="00C551A0">
            <w:pPr>
              <w:pStyle w:val="BodyText"/>
            </w:pPr>
            <w:r w:rsidRPr="00C551A0">
              <w:t>2</w:t>
            </w:r>
          </w:p>
        </w:tc>
        <w:tc>
          <w:tcPr>
            <w:tcW w:w="1986" w:type="dxa"/>
            <w:vMerge w:val="restart"/>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Establish servicing requirements and liaise with customer</w:t>
            </w: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2.1</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Verify watch condition and performance concerns with customer</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2.2</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Prepare written and verbal quotations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2.3</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Confirm customer agreement on recommended service procedures to remedy faults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2.4</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Record and document repair process</w:t>
            </w:r>
          </w:p>
        </w:tc>
      </w:tr>
      <w:tr w:rsidTr="00C551A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551A0">
            <w:pPr>
              <w:pStyle w:val="BodyText"/>
              <w:rPr>
                <w:lang w:val="en-NZ"/>
              </w:rPr>
            </w:pP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51A0" w:rsidP="00C551A0">
            <w:pPr>
              <w:pStyle w:val="BodyText"/>
            </w:pPr>
            <w:r w:rsidRPr="00C551A0">
              <w:t>3</w:t>
            </w:r>
          </w:p>
        </w:tc>
        <w:tc>
          <w:tcPr>
            <w:tcW w:w="1986" w:type="dxa"/>
            <w:vMerge w:val="restart"/>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Open and close watch cases</w:t>
            </w: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3.1</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Determine need to open case for further testing</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3.2</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Select and use appropriate workshop tools and equipment</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3.3</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Open and close watch cases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3.4</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Inspect parts and report and record results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3.5</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Verify gasket condition and replace, as required</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3.6</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Clean cases and bands during and after repair, as required</w:t>
            </w:r>
          </w:p>
        </w:tc>
      </w:tr>
      <w:tr w:rsidTr="00C551A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551A0">
            <w:pPr>
              <w:pStyle w:val="BodyText"/>
              <w:rPr>
                <w:lang w:val="en-NZ"/>
              </w:rPr>
            </w:pP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51A0" w:rsidP="00C551A0">
            <w:pPr>
              <w:pStyle w:val="BodyText"/>
            </w:pPr>
            <w:r w:rsidRPr="00C551A0">
              <w:t>4</w:t>
            </w:r>
          </w:p>
        </w:tc>
        <w:tc>
          <w:tcPr>
            <w:tcW w:w="1986" w:type="dxa"/>
            <w:vMerge w:val="restart"/>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Perform test</w:t>
            </w: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4.1</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 xml:space="preserve">Select appropriate tests for the type of quartz watch </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4.2</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Select and use appropriate workshop testing equipment</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4.3</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Test quartz watch output signals using industry-specific equipment</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4.4</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 xml:space="preserve">Assess mechanical condition, including freedom of gear train, as applicable </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4.5</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Maintain testing equipment</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4.6</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Record test results</w:t>
            </w:r>
          </w:p>
        </w:tc>
      </w:tr>
      <w:tr w:rsidTr="00C551A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551A0">
            <w:pPr>
              <w:pStyle w:val="BodyText"/>
              <w:rPr>
                <w:lang w:val="en-NZ"/>
              </w:rPr>
            </w:pP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551A0" w:rsidP="00C551A0">
            <w:pPr>
              <w:pStyle w:val="BodyText"/>
            </w:pPr>
            <w:r w:rsidRPr="00C551A0">
              <w:t>5</w:t>
            </w:r>
          </w:p>
        </w:tc>
        <w:tc>
          <w:tcPr>
            <w:tcW w:w="1986" w:type="dxa"/>
            <w:vMerge w:val="restart"/>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Analyse results and determine faults</w:t>
            </w: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5.1</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Interpret test results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5.2</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Carry out further testing to locate faulty components, as required</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5.3</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Confirm results against manufacturer specifications</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5.4</w:t>
            </w:r>
          </w:p>
        </w:tc>
        <w:tc>
          <w:tcPr>
            <w:tcW w:w="5678"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Identify faults from test information</w:t>
            </w:r>
          </w:p>
        </w:tc>
      </w:tr>
      <w:tr w:rsidTr="00C551A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5.5</w:t>
            </w:r>
          </w:p>
        </w:tc>
        <w:tc>
          <w:tcPr>
            <w:tcW w:w="5678" w:type="dxa"/>
            <w:tcBorders>
              <w:top w:val="nil"/>
              <w:left w:val="nil"/>
              <w:bottom w:val="nil"/>
              <w:right w:val="nil"/>
            </w:tcBorders>
            <w:tcMar>
              <w:top w:w="0" w:type="dxa"/>
              <w:left w:w="62" w:type="dxa"/>
              <w:bottom w:w="0" w:type="dxa"/>
              <w:right w:w="62" w:type="dxa"/>
            </w:tcMar>
          </w:tcPr>
          <w:p w:rsidR="00000000" w:rsidRPr="00C551A0" w:rsidP="00C551A0">
            <w:pPr>
              <w:pStyle w:val="BodyText"/>
            </w:pPr>
            <w:r w:rsidRPr="00C551A0">
              <w:t>Evaluate record and communicate recommended servicing requirements</w:t>
            </w:r>
          </w:p>
        </w:tc>
      </w:tr>
    </w:tbl>
    <w:p w:rsidR="00000000" w:rsidRPr="00C551A0" w:rsidP="00C551A0">
      <w:pPr>
        <w:pStyle w:val="BodyText"/>
      </w:pPr>
    </w:p>
    <w:p w:rsidR="00000000" w:rsidRPr="00C551A0" w:rsidP="00C551A0">
      <w:pPr>
        <w:pStyle w:val="AllowPageBreak"/>
      </w:pPr>
    </w:p>
    <w:p w:rsidR="00000000" w:rsidRPr="00C551A0" w:rsidP="00C551A0">
      <w:pPr>
        <w:pStyle w:val="Heading1"/>
      </w:pPr>
      <w:bookmarkStart w:id="6" w:name="O_951201"/>
      <w:bookmarkEnd w:id="6"/>
      <w:r w:rsidRPr="00C551A0">
        <w:t>Foundation Skills</w:t>
      </w:r>
    </w:p>
    <w:p w:rsidR="00000000" w:rsidRPr="00C551A0" w:rsidP="00F33F49">
      <w:pPr>
        <w:pStyle w:val="BodyText"/>
      </w:pPr>
      <w:r w:rsidRPr="00C551A0">
        <w:t>This section describes those required skills (reading, writing, oral communication and numeracy) that are essential to workplace performance in this uni</w:t>
      </w:r>
      <w:r w:rsidRPr="00C551A0">
        <w:t xml:space="preserve">t of competency.  </w:t>
      </w:r>
    </w:p>
    <w:p w:rsidR="00000000" w:rsidRPr="00C551A0" w:rsidP="00F33F49">
      <w:pPr>
        <w:pStyle w:val="BodyText"/>
      </w:pPr>
      <w:r w:rsidRPr="00C551A0">
        <w:t>Foundation skills essential to performance are explicit in the performance criteria of this unit of competency.</w:t>
      </w:r>
    </w:p>
    <w:p w:rsidR="00000000" w:rsidRPr="00C551A0" w:rsidP="00C551A0">
      <w:pPr>
        <w:pStyle w:val="Heading1"/>
      </w:pPr>
      <w:bookmarkStart w:id="7" w:name="O_951200"/>
      <w:bookmarkEnd w:id="7"/>
      <w:r w:rsidRPr="00C551A0">
        <w:t>Range of Conditions</w:t>
      </w:r>
    </w:p>
    <w:tbl>
      <w:tblPr>
        <w:tblW w:w="0" w:type="auto"/>
        <w:tblLayout w:type="fixed"/>
        <w:tblCellMar>
          <w:left w:w="62" w:type="dxa"/>
          <w:right w:w="62" w:type="dxa"/>
        </w:tblCellMar>
        <w:tblLook w:val="0000"/>
      </w:tblPr>
      <w:tblGrid>
        <w:gridCol w:w="2641"/>
        <w:gridCol w:w="6501"/>
      </w:tblGrid>
      <w:tr w:rsidTr="00C551A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t>This field allows for different work environments and conditions that may affect performance. Essential operating conditions that may be present (depending on the work situation, needs of the candidate, accessibility of the item, and local industry and reg</w:t>
            </w:r>
            <w:r w:rsidRPr="00C551A0">
              <w:t>ional contexts) are included.</w:t>
            </w:r>
          </w:p>
        </w:tc>
      </w:tr>
      <w:tr w:rsidTr="00C551A0">
        <w:tblPrEx>
          <w:tblW w:w="0" w:type="auto"/>
          <w:tblLayout w:type="fixed"/>
          <w:tblCellMar>
            <w:left w:w="62" w:type="dxa"/>
            <w:right w:w="62" w:type="dxa"/>
          </w:tblCellMar>
          <w:tblLook w:val="0000"/>
        </w:tblPrEx>
        <w:trPr>
          <w:trHeight w:val="2141"/>
        </w:trPr>
        <w:tc>
          <w:tcPr>
            <w:tcW w:w="2641"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Types of quartz watches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551A0" w:rsidP="00C551A0">
            <w:pPr>
              <w:pStyle w:val="ListBullet"/>
            </w:pPr>
            <w:r w:rsidRPr="00C551A0">
              <w:t>analog, digital and duo displays</w:t>
            </w:r>
          </w:p>
          <w:p w:rsidR="00000000" w:rsidRPr="00C551A0" w:rsidP="00C551A0">
            <w:pPr>
              <w:pStyle w:val="ListBullet"/>
            </w:pPr>
            <w:r w:rsidRPr="00C551A0">
              <w:t>anadigi</w:t>
            </w:r>
          </w:p>
          <w:p w:rsidR="00000000" w:rsidRPr="00C551A0" w:rsidP="00C551A0">
            <w:pPr>
              <w:pStyle w:val="ListBullet"/>
            </w:pPr>
            <w:r w:rsidRPr="00C551A0">
              <w:t>calendar and/or moon phase</w:t>
            </w:r>
          </w:p>
          <w:p w:rsidR="00000000" w:rsidRPr="00C551A0" w:rsidP="00C551A0">
            <w:pPr>
              <w:pStyle w:val="ListBullet"/>
            </w:pPr>
            <w:r w:rsidRPr="00C551A0">
              <w:t>chronograph and perpetual calendar</w:t>
            </w:r>
          </w:p>
          <w:p w:rsidR="00000000" w:rsidRPr="00C551A0" w:rsidP="00C551A0">
            <w:pPr>
              <w:pStyle w:val="ListBullet"/>
            </w:pPr>
            <w:r w:rsidRPr="00C551A0">
              <w:t>alarm and kinetic</w:t>
            </w:r>
          </w:p>
          <w:p w:rsidR="00000000" w:rsidP="00C551A0">
            <w:pPr>
              <w:pStyle w:val="ListBullet"/>
              <w:rPr>
                <w:lang w:val="en-NZ"/>
              </w:rPr>
            </w:pPr>
            <w:r w:rsidRPr="00C551A0">
              <w:t>auto quartz</w:t>
            </w:r>
          </w:p>
        </w:tc>
      </w:tr>
      <w:tr w:rsidTr="00C551A0">
        <w:tblPrEx>
          <w:tblW w:w="0" w:type="auto"/>
          <w:tblLayout w:type="fixed"/>
          <w:tblCellMar>
            <w:left w:w="62" w:type="dxa"/>
            <w:right w:w="62" w:type="dxa"/>
          </w:tblCellMar>
          <w:tblLook w:val="0000"/>
        </w:tblPrEx>
        <w:trPr>
          <w:trHeight w:val="1798"/>
        </w:trPr>
        <w:tc>
          <w:tcPr>
            <w:tcW w:w="2641"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Record and document repair process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551A0" w:rsidP="00C551A0">
            <w:pPr>
              <w:pStyle w:val="ListBullet"/>
            </w:pPr>
            <w:r w:rsidRPr="00C551A0">
              <w:t>reference to manufacturers</w:t>
            </w:r>
            <w:r>
              <w:t>’</w:t>
            </w:r>
            <w:r w:rsidRPr="00C551A0">
              <w:t xml:space="preserve"> technical guides </w:t>
            </w:r>
          </w:p>
          <w:p w:rsidR="00000000" w:rsidRPr="00C551A0" w:rsidP="00C551A0">
            <w:pPr>
              <w:pStyle w:val="ListBullet"/>
            </w:pPr>
            <w:r w:rsidRPr="00C551A0">
              <w:t xml:space="preserve">customer written quotation detailing faults </w:t>
            </w:r>
          </w:p>
          <w:p w:rsidR="00000000" w:rsidRPr="00C551A0" w:rsidP="00C551A0">
            <w:pPr>
              <w:pStyle w:val="ListBullet"/>
            </w:pPr>
            <w:r w:rsidRPr="00C551A0">
              <w:t xml:space="preserve">recommendations of most appropriate service procedure </w:t>
            </w:r>
          </w:p>
          <w:p w:rsidR="00000000" w:rsidRPr="00C551A0" w:rsidP="00C551A0">
            <w:pPr>
              <w:pStyle w:val="ListBullet"/>
            </w:pPr>
            <w:r w:rsidRPr="00C551A0">
              <w:t>estimation of replacement part</w:t>
            </w:r>
          </w:p>
          <w:p w:rsidR="00000000" w:rsidP="00C551A0">
            <w:pPr>
              <w:pStyle w:val="ListBullet"/>
              <w:rPr>
                <w:lang w:val="en-NZ"/>
              </w:rPr>
            </w:pPr>
            <w:r w:rsidRPr="00C551A0">
              <w:t>time spent on procedure</w:t>
            </w:r>
          </w:p>
        </w:tc>
      </w:tr>
      <w:tr w:rsidTr="00C551A0">
        <w:tblPrEx>
          <w:tblW w:w="0" w:type="auto"/>
          <w:tblLayout w:type="fixed"/>
          <w:tblCellMar>
            <w:left w:w="62" w:type="dxa"/>
            <w:right w:w="62" w:type="dxa"/>
          </w:tblCellMar>
          <w:tblLook w:val="0000"/>
        </w:tblPrEx>
        <w:trPr>
          <w:trHeight w:val="1895"/>
        </w:trPr>
        <w:tc>
          <w:tcPr>
            <w:tcW w:w="2641"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551A0" w:rsidP="00C551A0">
            <w:pPr>
              <w:pStyle w:val="ListBullet"/>
            </w:pPr>
            <w:r w:rsidRPr="00C551A0">
              <w:t>watch case opening and closing tools</w:t>
            </w:r>
          </w:p>
          <w:p w:rsidR="00000000" w:rsidRPr="00C551A0" w:rsidP="00C551A0">
            <w:pPr>
              <w:pStyle w:val="ListBullet"/>
            </w:pPr>
            <w:r w:rsidRPr="00C551A0">
              <w:t>hand tools, including:</w:t>
            </w:r>
          </w:p>
          <w:p w:rsidR="00000000" w:rsidRPr="00C551A0" w:rsidP="00C551A0">
            <w:pPr>
              <w:pStyle w:val="ListBullet2"/>
            </w:pPr>
            <w:r w:rsidRPr="00C551A0">
              <w:t>tweezers</w:t>
            </w:r>
          </w:p>
          <w:p w:rsidR="00000000" w:rsidRPr="00C551A0" w:rsidP="00C551A0">
            <w:pPr>
              <w:pStyle w:val="ListBullet2"/>
            </w:pPr>
            <w:r w:rsidRPr="00C551A0">
              <w:t xml:space="preserve">screwdrivers </w:t>
            </w:r>
          </w:p>
          <w:p w:rsidR="00000000" w:rsidP="00C551A0">
            <w:pPr>
              <w:pStyle w:val="ListBullet2"/>
              <w:rPr>
                <w:lang w:val="en-NZ"/>
              </w:rPr>
            </w:pPr>
            <w:r w:rsidRPr="00C551A0">
              <w:t>eyeglasses</w:t>
            </w:r>
          </w:p>
        </w:tc>
      </w:tr>
      <w:tr w:rsidTr="00C551A0">
        <w:tblPrEx>
          <w:tblW w:w="0" w:type="auto"/>
          <w:tblLayout w:type="fixed"/>
          <w:tblCellMar>
            <w:left w:w="62" w:type="dxa"/>
            <w:right w:w="62" w:type="dxa"/>
          </w:tblCellMar>
          <w:tblLook w:val="0000"/>
        </w:tblPrEx>
        <w:trPr>
          <w:trHeight w:val="2794"/>
        </w:trPr>
        <w:tc>
          <w:tcPr>
            <w:tcW w:w="2641"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Tests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551A0" w:rsidP="00C551A0">
            <w:pPr>
              <w:pStyle w:val="ListBullet"/>
            </w:pPr>
            <w:r w:rsidRPr="00C551A0">
              <w:t>acoustic, capacitive and inductive pick-ups/sensors</w:t>
            </w:r>
          </w:p>
          <w:p w:rsidR="00000000" w:rsidRPr="00C551A0" w:rsidP="00C551A0">
            <w:pPr>
              <w:pStyle w:val="ListBullet"/>
            </w:pPr>
            <w:r w:rsidRPr="00C551A0">
              <w:t>quartz crystal oscillating signals (32 KHz)</w:t>
            </w:r>
          </w:p>
          <w:p w:rsidR="00000000" w:rsidRPr="00C551A0" w:rsidP="00C551A0">
            <w:pPr>
              <w:pStyle w:val="ListBullet"/>
            </w:pPr>
            <w:r w:rsidRPr="00C551A0">
              <w:t>voltage, resistance and current consumption</w:t>
            </w:r>
          </w:p>
          <w:p w:rsidR="00000000" w:rsidRPr="00C551A0" w:rsidP="00C551A0">
            <w:pPr>
              <w:pStyle w:val="ListBullet"/>
            </w:pPr>
            <w:r w:rsidRPr="00C551A0">
              <w:t>output pulses (integrated circuits)</w:t>
            </w:r>
          </w:p>
          <w:p w:rsidR="00000000" w:rsidRPr="00C551A0" w:rsidP="00C551A0">
            <w:pPr>
              <w:pStyle w:val="ListBullet"/>
            </w:pPr>
            <w:r w:rsidRPr="00C551A0">
              <w:t xml:space="preserve">pulse generation of step motor </w:t>
            </w:r>
          </w:p>
          <w:p w:rsidR="00000000" w:rsidRPr="00C551A0" w:rsidP="00C551A0">
            <w:pPr>
              <w:pStyle w:val="ListBullet"/>
            </w:pPr>
            <w:r w:rsidRPr="00C551A0">
              <w:t xml:space="preserve">lower working limit </w:t>
            </w:r>
          </w:p>
          <w:p w:rsidR="00000000" w:rsidRPr="00C551A0" w:rsidP="00C551A0">
            <w:pPr>
              <w:pStyle w:val="ListBullet"/>
            </w:pPr>
            <w:r w:rsidRPr="00C551A0">
              <w:t xml:space="preserve">capacitive rate </w:t>
            </w:r>
          </w:p>
          <w:p w:rsidR="00000000" w:rsidP="00C551A0">
            <w:pPr>
              <w:pStyle w:val="ListBullet"/>
              <w:rPr>
                <w:lang w:val="en-NZ"/>
              </w:rPr>
            </w:pPr>
            <w:r w:rsidRPr="00C551A0">
              <w:t>inhibition rate</w:t>
            </w:r>
          </w:p>
        </w:tc>
      </w:tr>
      <w:tr w:rsidTr="00C551A0">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Workshop testing equipment</w:t>
            </w:r>
            <w:r w:rsidRPr="00C551A0">
              <w:t xml:space="preserve"> </w:t>
            </w:r>
            <w:r w:rsidRPr="00C551A0">
              <w:rPr>
                <w:rStyle w:val="SpecialBold"/>
              </w:rPr>
              <w:t>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551A0" w:rsidP="00C551A0">
            <w:pPr>
              <w:pStyle w:val="ListBullet"/>
            </w:pPr>
            <w:r w:rsidRPr="00C551A0">
              <w:t>quartz timing machines with acoustic and capacitive pick-up</w:t>
            </w:r>
          </w:p>
          <w:p w:rsidR="00000000" w:rsidRPr="00C551A0" w:rsidP="00C551A0">
            <w:pPr>
              <w:pStyle w:val="ListBullet"/>
            </w:pPr>
            <w:r w:rsidRPr="00C551A0">
              <w:t>inductive pick-up sensors</w:t>
            </w:r>
          </w:p>
          <w:p w:rsidR="00000000" w:rsidRPr="00C551A0" w:rsidP="00C551A0">
            <w:pPr>
              <w:pStyle w:val="ListBullet"/>
            </w:pPr>
            <w:r w:rsidRPr="00C551A0">
              <w:t>multimeters</w:t>
            </w:r>
          </w:p>
          <w:p w:rsidR="00000000" w:rsidRPr="00C551A0" w:rsidP="00C551A0">
            <w:pPr>
              <w:pStyle w:val="ListBullet"/>
            </w:pPr>
            <w:r w:rsidRPr="00C551A0">
              <w:t>variable voltage supplies</w:t>
            </w:r>
          </w:p>
          <w:p w:rsidR="00000000" w:rsidP="00C551A0">
            <w:pPr>
              <w:pStyle w:val="ListBullet"/>
              <w:rPr>
                <w:lang w:val="en-NZ"/>
              </w:rPr>
            </w:pPr>
            <w:r w:rsidRPr="00C551A0">
              <w:t>pulse generators</w:t>
            </w:r>
          </w:p>
        </w:tc>
      </w:tr>
      <w:tr w:rsidTr="00C551A0">
        <w:tblPrEx>
          <w:tblW w:w="0" w:type="auto"/>
          <w:tblLayout w:type="fixed"/>
          <w:tblCellMar>
            <w:left w:w="62" w:type="dxa"/>
            <w:right w:w="62" w:type="dxa"/>
          </w:tblCellMar>
          <w:tblLook w:val="0000"/>
        </w:tblPrEx>
        <w:trPr>
          <w:trHeight w:val="1852"/>
        </w:trPr>
        <w:tc>
          <w:tcPr>
            <w:tcW w:w="2641" w:type="dxa"/>
            <w:tcBorders>
              <w:top w:val="nil"/>
              <w:left w:val="nil"/>
              <w:bottom w:val="nil"/>
              <w:right w:val="nil"/>
            </w:tcBorders>
            <w:tcMar>
              <w:top w:w="0" w:type="dxa"/>
              <w:left w:w="62" w:type="dxa"/>
              <w:bottom w:w="0" w:type="dxa"/>
              <w:right w:w="62" w:type="dxa"/>
            </w:tcMar>
          </w:tcPr>
          <w:p w:rsidR="00000000" w:rsidP="00C551A0">
            <w:pPr>
              <w:pStyle w:val="BodyText"/>
              <w:rPr>
                <w:lang w:val="en-NZ"/>
              </w:rPr>
            </w:pPr>
            <w:r w:rsidRPr="00C551A0">
              <w:rPr>
                <w:rStyle w:val="SpecialBold"/>
              </w:rPr>
              <w:t>Faulty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C551A0" w:rsidP="00C551A0">
            <w:pPr>
              <w:pStyle w:val="ListBullet"/>
            </w:pPr>
            <w:r w:rsidRPr="00C551A0">
              <w:t>quartz crystal</w:t>
            </w:r>
          </w:p>
          <w:p w:rsidR="00000000" w:rsidRPr="00C551A0" w:rsidP="00C551A0">
            <w:pPr>
              <w:pStyle w:val="ListBullet"/>
            </w:pPr>
            <w:r w:rsidRPr="00C551A0">
              <w:t>integrated circuits</w:t>
            </w:r>
          </w:p>
          <w:p w:rsidR="00000000" w:rsidRPr="00C551A0" w:rsidP="00C551A0">
            <w:pPr>
              <w:pStyle w:val="ListBullet"/>
            </w:pPr>
            <w:r w:rsidRPr="00C551A0">
              <w:t>electronic circuits</w:t>
            </w:r>
          </w:p>
          <w:p w:rsidR="00000000" w:rsidRPr="00C551A0" w:rsidP="00C551A0">
            <w:pPr>
              <w:pStyle w:val="ListBullet"/>
            </w:pPr>
            <w:r w:rsidRPr="00C551A0">
              <w:t>coils</w:t>
            </w:r>
          </w:p>
          <w:p w:rsidR="00000000" w:rsidRPr="00C551A0" w:rsidP="00C551A0">
            <w:pPr>
              <w:pStyle w:val="ListBullet"/>
            </w:pPr>
            <w:r w:rsidRPr="00C551A0">
              <w:t>step motors</w:t>
            </w:r>
          </w:p>
          <w:p w:rsidR="00000000" w:rsidRPr="00C551A0" w:rsidP="00C551A0">
            <w:pPr>
              <w:pStyle w:val="ListBullet"/>
            </w:pPr>
            <w:r w:rsidRPr="00C551A0">
              <w:t>gear train</w:t>
            </w:r>
          </w:p>
          <w:p w:rsidR="00000000" w:rsidRPr="00C551A0" w:rsidP="00C551A0">
            <w:pPr>
              <w:pStyle w:val="ListBullet"/>
            </w:pPr>
            <w:r w:rsidRPr="00C551A0">
              <w:t>dial train</w:t>
            </w:r>
          </w:p>
          <w:p w:rsidR="00000000" w:rsidRPr="00C551A0" w:rsidP="00C551A0">
            <w:pPr>
              <w:pStyle w:val="ListBullet"/>
            </w:pPr>
            <w:r w:rsidRPr="00C551A0">
              <w:t>dials and hands</w:t>
            </w:r>
          </w:p>
        </w:tc>
      </w:tr>
    </w:tbl>
    <w:p w:rsidR="00000000" w:rsidRPr="00C551A0" w:rsidP="00C551A0">
      <w:pPr>
        <w:pStyle w:val="BodyText"/>
      </w:pPr>
    </w:p>
    <w:p w:rsidR="00000000" w:rsidRPr="00C551A0" w:rsidP="00C551A0">
      <w:pPr>
        <w:pStyle w:val="AllowPageBreak"/>
      </w:pPr>
    </w:p>
    <w:p w:rsidR="00000000" w:rsidRPr="00C551A0" w:rsidP="00C551A0">
      <w:pPr>
        <w:pStyle w:val="Heading1"/>
      </w:pPr>
      <w:bookmarkStart w:id="8" w:name="O_951199"/>
      <w:bookmarkEnd w:id="8"/>
      <w:r w:rsidRPr="00C551A0">
        <w:t>Unit Mapping Information</w:t>
      </w:r>
    </w:p>
    <w:p w:rsidR="00000000" w:rsidRPr="00C551A0" w:rsidP="00F33F49">
      <w:pPr>
        <w:pStyle w:val="BodyText"/>
      </w:pPr>
      <w:r w:rsidRPr="00C551A0">
        <w:t xml:space="preserve">Release 1. Supersedes and is equivalent </w:t>
      </w:r>
      <w:r w:rsidRPr="00C551A0">
        <w:t xml:space="preserve">to MEM21005A Diagnose faults in quartz watches </w:t>
      </w:r>
    </w:p>
    <w:p w:rsidR="00000000" w:rsidRPr="00C551A0" w:rsidP="00C551A0">
      <w:pPr>
        <w:pStyle w:val="Heading1"/>
      </w:pPr>
      <w:bookmarkStart w:id="9" w:name="O_951192"/>
      <w:bookmarkEnd w:id="9"/>
      <w:r w:rsidRPr="00C551A0">
        <w:t>Links</w:t>
      </w:r>
    </w:p>
    <w:p w:rsidR="00000000" w:rsidRPr="00C551A0" w:rsidP="00F33F49">
      <w:pPr>
        <w:pStyle w:val="BodyText"/>
      </w:pPr>
      <w:r w:rsidRPr="00C551A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E0281">
        <w:rPr>
          <w:rStyle w:val="Hyperlink"/>
        </w:rPr>
        <w:t>https://vetnet.gov.au/Pages/TrainingDocs.aspx?q=b7050d37-5fd0-4740-8f7d-3b7a49c10bb2</w:t>
      </w:r>
      <w:r>
        <w:fldChar w:fldCharType="end"/>
      </w:r>
    </w:p>
    <w:p w:rsidR="00000000" w:rsidRPr="00C551A0" w:rsidP="00C551A0"/>
    <w:sectPr w:rsidSect="00C551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A0" w:rsidRPr="00F33F49" w:rsidP="00F33F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49" w:rsidP="00C55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F49" w:rsidP="00C551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3F49" w:rsidP="00C551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1A0" w:rsidRPr="00F33F49" w:rsidP="00F33F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F49" w:rsidRPr="002D2AF8" w:rsidP="00C551A0">
    <w:pPr>
      <w:pStyle w:val="Header"/>
      <w:framePr w:wrap="around"/>
    </w:pPr>
    <w:r>
      <w:fldChar w:fldCharType="begin"/>
    </w:r>
    <w:r>
      <w:instrText xml:space="preserve"> TITLE   \* MERGEFORMAT </w:instrText>
    </w:r>
    <w:r>
      <w:fldChar w:fldCharType="separate"/>
    </w:r>
    <w:r>
      <w:t>MEM21005 Diagnose faults in quartz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33F49" w:rsidP="00C551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CB4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6C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08B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1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1A0"/>
    <w:pPr>
      <w:spacing w:before="360" w:after="60"/>
      <w:outlineLvl w:val="0"/>
    </w:pPr>
    <w:rPr>
      <w:sz w:val="32"/>
    </w:rPr>
  </w:style>
  <w:style w:type="paragraph" w:styleId="Heading2">
    <w:name w:val="heading 2"/>
    <w:basedOn w:val="HeadingBase"/>
    <w:next w:val="BodyText"/>
    <w:link w:val="Heading2Char"/>
    <w:qFormat/>
    <w:rsid w:val="00C551A0"/>
    <w:pPr>
      <w:keepLines/>
      <w:spacing w:before="240" w:after="120"/>
      <w:outlineLvl w:val="1"/>
    </w:pPr>
    <w:rPr>
      <w:sz w:val="28"/>
      <w:szCs w:val="40"/>
    </w:rPr>
  </w:style>
  <w:style w:type="paragraph" w:styleId="Heading3">
    <w:name w:val="heading 3"/>
    <w:basedOn w:val="HeadingBase"/>
    <w:next w:val="BodyText"/>
    <w:link w:val="Heading3Char"/>
    <w:qFormat/>
    <w:rsid w:val="00C551A0"/>
    <w:pPr>
      <w:spacing w:before="180" w:after="120"/>
      <w:outlineLvl w:val="2"/>
    </w:pPr>
    <w:rPr>
      <w:spacing w:val="-10"/>
      <w:kern w:val="32"/>
    </w:rPr>
  </w:style>
  <w:style w:type="paragraph" w:styleId="Heading4">
    <w:name w:val="heading 4"/>
    <w:basedOn w:val="HeadingBase"/>
    <w:next w:val="BodyText"/>
    <w:link w:val="Heading4Char"/>
    <w:qFormat/>
    <w:rsid w:val="00C551A0"/>
    <w:pPr>
      <w:spacing w:before="160" w:after="120"/>
      <w:outlineLvl w:val="3"/>
    </w:pPr>
    <w:rPr>
      <w:sz w:val="22"/>
    </w:rPr>
  </w:style>
  <w:style w:type="paragraph" w:styleId="Heading5">
    <w:name w:val="heading 5"/>
    <w:basedOn w:val="HeadingBase"/>
    <w:next w:val="Normal"/>
    <w:link w:val="Heading5Char"/>
    <w:qFormat/>
    <w:rsid w:val="00C551A0"/>
    <w:pPr>
      <w:spacing w:before="80"/>
      <w:outlineLvl w:val="4"/>
    </w:pPr>
    <w:rPr>
      <w:color w:val="918585"/>
      <w:sz w:val="20"/>
    </w:rPr>
  </w:style>
  <w:style w:type="paragraph" w:styleId="Heading6">
    <w:name w:val="heading 6"/>
    <w:basedOn w:val="HeadingBase"/>
    <w:next w:val="Normal"/>
    <w:link w:val="Heading6Char"/>
    <w:qFormat/>
    <w:rsid w:val="00C551A0"/>
    <w:pPr>
      <w:spacing w:before="60"/>
      <w:outlineLvl w:val="5"/>
    </w:pPr>
    <w:rPr>
      <w:color w:val="918585"/>
      <w:sz w:val="20"/>
    </w:rPr>
  </w:style>
  <w:style w:type="paragraph" w:styleId="Heading7">
    <w:name w:val="heading 7"/>
    <w:basedOn w:val="Normal"/>
    <w:next w:val="Normal"/>
    <w:link w:val="Heading7Char"/>
    <w:qFormat/>
    <w:rsid w:val="00C551A0"/>
    <w:pPr>
      <w:ind w:left="720"/>
      <w:outlineLvl w:val="6"/>
    </w:pPr>
    <w:rPr>
      <w:i/>
    </w:rPr>
  </w:style>
  <w:style w:type="paragraph" w:styleId="Heading8">
    <w:name w:val="heading 8"/>
    <w:basedOn w:val="Normal"/>
    <w:next w:val="Normal"/>
    <w:link w:val="Heading8Char"/>
    <w:qFormat/>
    <w:rsid w:val="00C551A0"/>
    <w:pPr>
      <w:ind w:left="720"/>
      <w:outlineLvl w:val="7"/>
    </w:pPr>
    <w:rPr>
      <w:i/>
    </w:rPr>
  </w:style>
  <w:style w:type="paragraph" w:styleId="Heading9">
    <w:name w:val="heading 9"/>
    <w:basedOn w:val="Normal"/>
    <w:next w:val="Normal"/>
    <w:link w:val="Heading9Char"/>
    <w:qFormat/>
    <w:rsid w:val="00C551A0"/>
    <w:pPr>
      <w:ind w:left="720"/>
      <w:outlineLvl w:val="8"/>
    </w:pPr>
    <w:rPr>
      <w:i/>
    </w:rPr>
  </w:style>
  <w:style w:type="character" w:default="1" w:styleId="DefaultParagraphFont">
    <w:name w:val="Default Paragraph Font"/>
    <w:uiPriority w:val="1"/>
    <w:unhideWhenUsed/>
    <w:rsid w:val="00C55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1A0"/>
  </w:style>
  <w:style w:type="character" w:customStyle="1" w:styleId="Heading1Char">
    <w:name w:val="Heading 1 Char"/>
    <w:basedOn w:val="DefaultParagraphFont"/>
    <w:link w:val="Heading1"/>
    <w:rsid w:val="00C551A0"/>
    <w:rPr>
      <w:rFonts w:ascii="Times New Roman" w:eastAsia="Times New Roman" w:hAnsi="Times New Roman" w:cs="Times New Roman"/>
      <w:b/>
      <w:sz w:val="32"/>
      <w:szCs w:val="20"/>
      <w:lang w:eastAsia="en-US"/>
    </w:rPr>
  </w:style>
  <w:style w:type="paragraph" w:styleId="BodyText">
    <w:name w:val="Body Text"/>
    <w:basedOn w:val="Normal"/>
    <w:link w:val="BodyTextChar"/>
    <w:rsid w:val="00C551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1A0"/>
    <w:rPr>
      <w:rFonts w:ascii="Times New Roman" w:eastAsia="Times New Roman" w:hAnsi="Times New Roman" w:cs="Times New Roman"/>
      <w:sz w:val="24"/>
      <w:lang w:eastAsia="en-US"/>
    </w:rPr>
  </w:style>
  <w:style w:type="paragraph" w:styleId="ListBullet">
    <w:name w:val="List Bullet"/>
    <w:basedOn w:val="List"/>
    <w:rsid w:val="00C551A0"/>
    <w:pPr>
      <w:numPr>
        <w:numId w:val="12"/>
      </w:numPr>
      <w:tabs>
        <w:tab w:val="clear" w:pos="340"/>
      </w:tabs>
      <w:spacing w:before="40" w:after="40"/>
    </w:pPr>
  </w:style>
  <w:style w:type="character" w:customStyle="1" w:styleId="SpecialBold">
    <w:name w:val="Special Bold"/>
    <w:basedOn w:val="DefaultParagraphFont"/>
    <w:rsid w:val="00C551A0"/>
    <w:rPr>
      <w:b/>
      <w:spacing w:val="0"/>
    </w:rPr>
  </w:style>
  <w:style w:type="paragraph" w:styleId="ListBullet2">
    <w:name w:val="List Bullet 2"/>
    <w:basedOn w:val="List2"/>
    <w:rsid w:val="00C551A0"/>
    <w:pPr>
      <w:numPr>
        <w:numId w:val="13"/>
      </w:numPr>
      <w:tabs>
        <w:tab w:val="clear" w:pos="680"/>
      </w:tabs>
    </w:pPr>
  </w:style>
  <w:style w:type="paragraph" w:customStyle="1" w:styleId="SuperHeading">
    <w:name w:val="SuperHeading"/>
    <w:basedOn w:val="Normal"/>
    <w:rsid w:val="00C551A0"/>
    <w:pPr>
      <w:spacing w:before="240" w:after="120"/>
      <w:outlineLvl w:val="0"/>
    </w:pPr>
    <w:rPr>
      <w:rFonts w:ascii="Times New Roman" w:hAnsi="Times New Roman"/>
      <w:b/>
      <w:sz w:val="32"/>
    </w:rPr>
  </w:style>
  <w:style w:type="paragraph" w:customStyle="1" w:styleId="AllowPageBreak">
    <w:name w:val="AllowPageBreak"/>
    <w:rsid w:val="00C55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5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1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1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1A0"/>
    <w:rPr>
      <w:rFonts w:ascii="Courier New" w:eastAsia="Times New Roman" w:hAnsi="Courier New" w:cs="Times New Roman"/>
      <w:i/>
      <w:szCs w:val="20"/>
      <w:lang w:eastAsia="en-US"/>
    </w:rPr>
  </w:style>
  <w:style w:type="paragraph" w:customStyle="1" w:styleId="HeadingBase">
    <w:name w:val="Heading Base"/>
    <w:rsid w:val="00C55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1A0"/>
    <w:pPr>
      <w:tabs>
        <w:tab w:val="right" w:leader="dot" w:pos="9072"/>
      </w:tabs>
      <w:ind w:left="567"/>
    </w:pPr>
    <w:rPr>
      <w:szCs w:val="22"/>
    </w:rPr>
  </w:style>
  <w:style w:type="paragraph" w:customStyle="1" w:styleId="TOCBase">
    <w:name w:val="TOC Base"/>
    <w:rsid w:val="00C55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1A0"/>
    <w:pPr>
      <w:tabs>
        <w:tab w:val="right" w:leader="dot" w:pos="9072"/>
      </w:tabs>
      <w:spacing w:before="40" w:after="40"/>
      <w:ind w:left="284"/>
    </w:pPr>
    <w:rPr>
      <w:rFonts w:ascii="Times New Roman" w:hAnsi="Times New Roman"/>
    </w:rPr>
  </w:style>
  <w:style w:type="paragraph" w:styleId="TOC1">
    <w:name w:val="toc 1"/>
    <w:basedOn w:val="TOCBase"/>
    <w:next w:val="Normal"/>
    <w:rsid w:val="00C551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1A0"/>
    <w:rPr>
      <w:rFonts w:ascii="Times New Roman" w:eastAsia="Times New Roman" w:hAnsi="Times New Roman" w:cs="Times New Roman"/>
      <w:sz w:val="16"/>
      <w:lang w:eastAsia="en-US"/>
    </w:rPr>
  </w:style>
  <w:style w:type="paragraph" w:styleId="Title">
    <w:name w:val="Title"/>
    <w:basedOn w:val="HeadingBase"/>
    <w:link w:val="TitleChar"/>
    <w:qFormat/>
    <w:rsid w:val="00C551A0"/>
    <w:pPr>
      <w:spacing w:before="5040"/>
      <w:jc w:val="center"/>
    </w:pPr>
    <w:rPr>
      <w:sz w:val="48"/>
      <w:szCs w:val="72"/>
      <w:lang w:val="en-US"/>
    </w:rPr>
  </w:style>
  <w:style w:type="character" w:customStyle="1" w:styleId="TitleChar">
    <w:name w:val="Title Char"/>
    <w:basedOn w:val="DefaultParagraphFont"/>
    <w:link w:val="Title"/>
    <w:rsid w:val="00C55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1A0"/>
    <w:pPr>
      <w:tabs>
        <w:tab w:val="left" w:pos="3600"/>
        <w:tab w:val="left" w:pos="3958"/>
      </w:tabs>
    </w:pPr>
  </w:style>
  <w:style w:type="paragraph" w:styleId="List">
    <w:name w:val="List"/>
    <w:basedOn w:val="BodyText"/>
    <w:next w:val="BodyText"/>
    <w:rsid w:val="00C551A0"/>
    <w:pPr>
      <w:tabs>
        <w:tab w:val="left" w:pos="340"/>
      </w:tabs>
      <w:spacing w:before="60" w:after="60"/>
      <w:ind w:left="340" w:hanging="340"/>
    </w:pPr>
  </w:style>
  <w:style w:type="paragraph" w:customStyle="1" w:styleId="Note">
    <w:name w:val="Note"/>
    <w:basedOn w:val="BodyText"/>
    <w:rsid w:val="00C55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1A0"/>
    <w:pPr>
      <w:framePr w:wrap="auto" w:hAnchor="text" w:y="6049"/>
    </w:pPr>
    <w:rPr>
      <w:color w:val="000000"/>
      <w:sz w:val="40"/>
    </w:rPr>
  </w:style>
  <w:style w:type="paragraph" w:customStyle="1" w:styleId="TOCTitle">
    <w:name w:val="TOCTitle"/>
    <w:basedOn w:val="Heading1"/>
    <w:rsid w:val="00C551A0"/>
    <w:pPr>
      <w:spacing w:after="240"/>
      <w:jc w:val="center"/>
      <w:outlineLvl w:val="9"/>
    </w:pPr>
    <w:rPr>
      <w:caps/>
    </w:rPr>
  </w:style>
  <w:style w:type="paragraph" w:customStyle="1" w:styleId="Version">
    <w:name w:val="Version"/>
    <w:rsid w:val="00C55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1A0"/>
    <w:pPr>
      <w:keepNext w:val="0"/>
      <w:tabs>
        <w:tab w:val="right" w:pos="4176"/>
      </w:tabs>
      <w:ind w:left="198" w:hanging="198"/>
    </w:pPr>
    <w:rPr>
      <w:rFonts w:ascii="Garamond" w:hAnsi="Garamond"/>
    </w:rPr>
  </w:style>
  <w:style w:type="paragraph" w:styleId="IndexHeading">
    <w:name w:val="index heading"/>
    <w:basedOn w:val="Normal"/>
    <w:next w:val="Index1"/>
    <w:semiHidden/>
    <w:rsid w:val="00C551A0"/>
    <w:pPr>
      <w:spacing w:before="120" w:after="120"/>
    </w:pPr>
    <w:rPr>
      <w:rFonts w:ascii="Arial" w:hAnsi="Arial"/>
      <w:b/>
      <w:color w:val="918585"/>
      <w:sz w:val="24"/>
    </w:rPr>
  </w:style>
  <w:style w:type="paragraph" w:styleId="Header">
    <w:name w:val="header"/>
    <w:basedOn w:val="Normal"/>
    <w:link w:val="HeaderChar"/>
    <w:rsid w:val="00C55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1A0"/>
    <w:rPr>
      <w:rFonts w:ascii="Times New Roman" w:eastAsia="Times New Roman" w:hAnsi="Times New Roman" w:cs="Times New Roman"/>
      <w:sz w:val="16"/>
      <w:szCs w:val="20"/>
      <w:lang w:val="en-GB" w:eastAsia="en-US"/>
    </w:rPr>
  </w:style>
  <w:style w:type="paragraph" w:customStyle="1" w:styleId="Chapter">
    <w:name w:val="Chapter"/>
    <w:basedOn w:val="Normal"/>
    <w:rsid w:val="00C551A0"/>
    <w:pPr>
      <w:spacing w:before="240"/>
    </w:pPr>
    <w:rPr>
      <w:rFonts w:ascii="Times New Roman" w:hAnsi="Times New Roman"/>
      <w:smallCaps/>
      <w:spacing w:val="80"/>
      <w:sz w:val="28"/>
    </w:rPr>
  </w:style>
  <w:style w:type="paragraph" w:customStyle="1" w:styleId="InChapter">
    <w:name w:val="InChapter"/>
    <w:basedOn w:val="Heading3"/>
    <w:rsid w:val="00C551A0"/>
    <w:pPr>
      <w:spacing w:after="240"/>
      <w:outlineLvl w:val="9"/>
    </w:pPr>
    <w:rPr>
      <w:noProof/>
    </w:rPr>
  </w:style>
  <w:style w:type="paragraph" w:styleId="Index2">
    <w:name w:val="index 2"/>
    <w:basedOn w:val="Normal"/>
    <w:next w:val="Normal"/>
    <w:semiHidden/>
    <w:rsid w:val="00C551A0"/>
    <w:pPr>
      <w:tabs>
        <w:tab w:val="right" w:pos="4176"/>
      </w:tabs>
      <w:ind w:left="568" w:hanging="284"/>
    </w:pPr>
    <w:rPr>
      <w:rFonts w:ascii="Garamond" w:hAnsi="Garamond"/>
    </w:rPr>
  </w:style>
  <w:style w:type="paragraph" w:customStyle="1" w:styleId="Byline">
    <w:name w:val="Byline"/>
    <w:rsid w:val="00C55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1A0"/>
    <w:pPr>
      <w:tabs>
        <w:tab w:val="clear" w:pos="3600"/>
        <w:tab w:val="clear" w:pos="3958"/>
      </w:tabs>
      <w:jc w:val="right"/>
    </w:pPr>
  </w:style>
  <w:style w:type="character" w:styleId="Emphasis">
    <w:name w:val="Emphasis"/>
    <w:basedOn w:val="DefaultParagraphFont"/>
    <w:qFormat/>
    <w:rsid w:val="00C551A0"/>
    <w:rPr>
      <w:i/>
    </w:rPr>
  </w:style>
  <w:style w:type="paragraph" w:styleId="Caption">
    <w:name w:val="caption"/>
    <w:basedOn w:val="BodyText"/>
    <w:next w:val="Normal"/>
    <w:qFormat/>
    <w:rsid w:val="00C551A0"/>
    <w:pPr>
      <w:framePr w:w="2268" w:hSpace="181" w:vSpace="181" w:wrap="around" w:vAnchor="text" w:hAnchor="page" w:x="1135" w:y="285" w:anchorLock="1"/>
    </w:pPr>
    <w:rPr>
      <w:i/>
    </w:rPr>
  </w:style>
  <w:style w:type="paragraph" w:customStyle="1" w:styleId="MiniTOCTitle">
    <w:name w:val="MiniTOCTitle"/>
    <w:basedOn w:val="Heading4"/>
    <w:rsid w:val="00C551A0"/>
    <w:pPr>
      <w:spacing w:before="240"/>
      <w:outlineLvl w:val="9"/>
    </w:pPr>
    <w:rPr>
      <w:noProof/>
      <w:sz w:val="24"/>
    </w:rPr>
  </w:style>
  <w:style w:type="paragraph" w:customStyle="1" w:styleId="MiniTOCItem">
    <w:name w:val="MiniTOCItem"/>
    <w:basedOn w:val="ListBullet"/>
    <w:rsid w:val="00C551A0"/>
    <w:pPr>
      <w:numPr>
        <w:numId w:val="0"/>
      </w:numPr>
      <w:tabs>
        <w:tab w:val="right" w:leader="dot" w:pos="6521"/>
      </w:tabs>
      <w:spacing w:before="0" w:after="0"/>
    </w:pPr>
  </w:style>
  <w:style w:type="paragraph" w:customStyle="1" w:styleId="TOFTitle">
    <w:name w:val="TOFTitle"/>
    <w:basedOn w:val="TOCTitle"/>
    <w:rsid w:val="00C551A0"/>
  </w:style>
  <w:style w:type="paragraph" w:styleId="TableofFigures">
    <w:name w:val="table of figures"/>
    <w:basedOn w:val="Normal"/>
    <w:next w:val="Normal"/>
    <w:semiHidden/>
    <w:rsid w:val="00C551A0"/>
    <w:pPr>
      <w:tabs>
        <w:tab w:val="right" w:leader="dot" w:pos="9072"/>
      </w:tabs>
      <w:ind w:left="970" w:hanging="403"/>
    </w:pPr>
    <w:rPr>
      <w:rFonts w:ascii="Times New Roman" w:hAnsi="Times New Roman"/>
      <w:b/>
    </w:rPr>
  </w:style>
  <w:style w:type="paragraph" w:styleId="ListNumber">
    <w:name w:val="List Number"/>
    <w:basedOn w:val="List"/>
    <w:rsid w:val="00C551A0"/>
    <w:pPr>
      <w:numPr>
        <w:numId w:val="15"/>
      </w:numPr>
      <w:tabs>
        <w:tab w:val="clear" w:pos="340"/>
      </w:tabs>
    </w:pPr>
  </w:style>
  <w:style w:type="character" w:customStyle="1" w:styleId="WingdingSymbols">
    <w:name w:val="Wingding Symbols"/>
    <w:rsid w:val="00C551A0"/>
    <w:rPr>
      <w:rFonts w:ascii="Wingdings" w:hAnsi="Wingdings"/>
    </w:rPr>
  </w:style>
  <w:style w:type="paragraph" w:customStyle="1" w:styleId="TableHeading">
    <w:name w:val="Table Heading"/>
    <w:basedOn w:val="HeadingBase"/>
    <w:rsid w:val="00C551A0"/>
    <w:pPr>
      <w:keepLines/>
      <w:pBdr>
        <w:bottom w:val="single" w:sz="6" w:space="1" w:color="918585"/>
      </w:pBdr>
      <w:spacing w:before="240"/>
    </w:pPr>
  </w:style>
  <w:style w:type="character" w:customStyle="1" w:styleId="HotSpot">
    <w:name w:val="HotSpot"/>
    <w:rsid w:val="00C551A0"/>
    <w:rPr>
      <w:color w:val="0033CC"/>
      <w:u w:val="none"/>
    </w:rPr>
  </w:style>
  <w:style w:type="paragraph" w:customStyle="1" w:styleId="BodyTextRight">
    <w:name w:val="Body Text Right"/>
    <w:basedOn w:val="BodyText"/>
    <w:rsid w:val="00C551A0"/>
    <w:pPr>
      <w:spacing w:before="0" w:after="0"/>
      <w:jc w:val="right"/>
    </w:pPr>
  </w:style>
  <w:style w:type="paragraph" w:styleId="Index3">
    <w:name w:val="index 3"/>
    <w:basedOn w:val="ListNumber2"/>
    <w:next w:val="Normal"/>
    <w:semiHidden/>
    <w:rsid w:val="00C551A0"/>
    <w:pPr>
      <w:numPr>
        <w:numId w:val="0"/>
      </w:numPr>
      <w:tabs>
        <w:tab w:val="right" w:leader="dot" w:pos="4176"/>
      </w:tabs>
    </w:pPr>
  </w:style>
  <w:style w:type="paragraph" w:styleId="ListNumber2">
    <w:name w:val="List Number 2"/>
    <w:basedOn w:val="List2"/>
    <w:rsid w:val="00C551A0"/>
    <w:pPr>
      <w:numPr>
        <w:numId w:val="10"/>
      </w:numPr>
      <w:tabs>
        <w:tab w:val="clear" w:pos="1060"/>
      </w:tabs>
    </w:pPr>
  </w:style>
  <w:style w:type="paragraph" w:customStyle="1" w:styleId="MarginNote">
    <w:name w:val="Margin Note"/>
    <w:basedOn w:val="BodyText"/>
    <w:rsid w:val="00C55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1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1A0"/>
    <w:rPr>
      <w:sz w:val="32"/>
    </w:rPr>
  </w:style>
  <w:style w:type="paragraph" w:customStyle="1" w:styleId="HeadingProcedure">
    <w:name w:val="Heading Procedure"/>
    <w:basedOn w:val="HeadingBase"/>
    <w:next w:val="Normal"/>
    <w:rsid w:val="00C551A0"/>
    <w:pPr>
      <w:tabs>
        <w:tab w:val="left" w:pos="0"/>
      </w:tabs>
      <w:spacing w:before="120" w:after="60"/>
    </w:pPr>
    <w:rPr>
      <w:i/>
      <w:color w:val="918585"/>
      <w:sz w:val="22"/>
    </w:rPr>
  </w:style>
  <w:style w:type="paragraph" w:customStyle="1" w:styleId="TableBodyText">
    <w:name w:val="Table Body Text"/>
    <w:basedOn w:val="BodyText"/>
    <w:rsid w:val="00C551A0"/>
    <w:pPr>
      <w:spacing w:before="60" w:after="60"/>
    </w:pPr>
  </w:style>
  <w:style w:type="paragraph" w:styleId="ListContinue">
    <w:name w:val="List Continue"/>
    <w:basedOn w:val="List"/>
    <w:rsid w:val="00C551A0"/>
    <w:pPr>
      <w:ind w:firstLine="0"/>
    </w:pPr>
  </w:style>
  <w:style w:type="paragraph" w:customStyle="1" w:styleId="ListNote">
    <w:name w:val="List Note"/>
    <w:basedOn w:val="List"/>
    <w:rsid w:val="00C551A0"/>
    <w:pPr>
      <w:pBdr>
        <w:top w:val="single" w:sz="6" w:space="2" w:color="918585"/>
        <w:bottom w:val="single" w:sz="6" w:space="2" w:color="918585"/>
      </w:pBdr>
      <w:tabs>
        <w:tab w:val="left" w:pos="1021"/>
      </w:tabs>
      <w:ind w:firstLine="0"/>
    </w:pPr>
  </w:style>
  <w:style w:type="paragraph" w:customStyle="1" w:styleId="Warning">
    <w:name w:val="Warning"/>
    <w:basedOn w:val="BodyText"/>
    <w:rsid w:val="00C551A0"/>
    <w:pPr>
      <w:shd w:val="clear" w:color="auto" w:fill="D9D9D9"/>
      <w:tabs>
        <w:tab w:val="left" w:pos="992"/>
      </w:tabs>
      <w:ind w:left="119" w:right="119"/>
    </w:pPr>
    <w:rPr>
      <w:sz w:val="20"/>
    </w:rPr>
  </w:style>
  <w:style w:type="paragraph" w:customStyle="1" w:styleId="MarginIcons">
    <w:name w:val="Margin Icons"/>
    <w:basedOn w:val="BodyText"/>
    <w:rsid w:val="00C55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1A0"/>
    <w:rPr>
      <w:rFonts w:ascii="Courier New" w:hAnsi="Courier New"/>
    </w:rPr>
  </w:style>
  <w:style w:type="paragraph" w:customStyle="1" w:styleId="NoteBullet">
    <w:name w:val="Note Bullet"/>
    <w:basedOn w:val="Note"/>
    <w:rsid w:val="00C551A0"/>
    <w:pPr>
      <w:tabs>
        <w:tab w:val="clear" w:pos="680"/>
      </w:tabs>
      <w:spacing w:before="60" w:after="60"/>
    </w:pPr>
  </w:style>
  <w:style w:type="paragraph" w:customStyle="1" w:styleId="SubHeading2">
    <w:name w:val="SubHeading2"/>
    <w:basedOn w:val="HeadingBase"/>
    <w:rsid w:val="00C551A0"/>
    <w:pPr>
      <w:spacing w:before="240" w:after="60"/>
    </w:pPr>
    <w:rPr>
      <w:sz w:val="20"/>
    </w:rPr>
  </w:style>
  <w:style w:type="paragraph" w:customStyle="1" w:styleId="SubHeading1">
    <w:name w:val="SubHeading1"/>
    <w:basedOn w:val="HeadingBase"/>
    <w:rsid w:val="00C551A0"/>
    <w:pPr>
      <w:spacing w:before="240" w:after="60"/>
    </w:pPr>
    <w:rPr>
      <w:color w:val="918585"/>
      <w:sz w:val="22"/>
    </w:rPr>
  </w:style>
  <w:style w:type="paragraph" w:customStyle="1" w:styleId="SideHeading">
    <w:name w:val="Side Heading"/>
    <w:basedOn w:val="HeadingBase"/>
    <w:rsid w:val="00C55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1A0"/>
    <w:pPr>
      <w:tabs>
        <w:tab w:val="num" w:pos="360"/>
      </w:tabs>
    </w:pPr>
  </w:style>
  <w:style w:type="paragraph" w:styleId="PlainText">
    <w:name w:val="Plain Text"/>
    <w:basedOn w:val="Normal"/>
    <w:link w:val="PlainTextChar"/>
    <w:rsid w:val="00C551A0"/>
    <w:rPr>
      <w:sz w:val="20"/>
    </w:rPr>
  </w:style>
  <w:style w:type="character" w:customStyle="1" w:styleId="PlainTextChar">
    <w:name w:val="Plain Text Char"/>
    <w:basedOn w:val="DefaultParagraphFont"/>
    <w:link w:val="PlainText"/>
    <w:rsid w:val="00C551A0"/>
    <w:rPr>
      <w:rFonts w:ascii="Courier New" w:eastAsia="Times New Roman" w:hAnsi="Courier New" w:cs="Times New Roman"/>
      <w:sz w:val="20"/>
      <w:szCs w:val="20"/>
      <w:lang w:eastAsia="en-US"/>
    </w:rPr>
  </w:style>
  <w:style w:type="character" w:customStyle="1" w:styleId="MenuOption">
    <w:name w:val="Menu Option"/>
    <w:basedOn w:val="DefaultParagraphFont"/>
    <w:rsid w:val="00C551A0"/>
    <w:rPr>
      <w:b/>
      <w:smallCaps/>
    </w:rPr>
  </w:style>
  <w:style w:type="paragraph" w:customStyle="1" w:styleId="TableListNumber">
    <w:name w:val="Table List Number"/>
    <w:basedOn w:val="ListNumber"/>
    <w:rsid w:val="00C551A0"/>
    <w:pPr>
      <w:numPr>
        <w:numId w:val="0"/>
      </w:numPr>
    </w:pPr>
  </w:style>
  <w:style w:type="paragraph" w:styleId="TOC4">
    <w:name w:val="toc 4"/>
    <w:basedOn w:val="TOCBase"/>
    <w:next w:val="Normal"/>
    <w:semiHidden/>
    <w:rsid w:val="00C551A0"/>
    <w:pPr>
      <w:tabs>
        <w:tab w:val="right" w:leader="dot" w:pos="9071"/>
      </w:tabs>
      <w:ind w:left="1701"/>
    </w:pPr>
  </w:style>
  <w:style w:type="paragraph" w:customStyle="1" w:styleId="ListAlpha">
    <w:name w:val="List Alpha"/>
    <w:basedOn w:val="List"/>
    <w:rsid w:val="00C551A0"/>
    <w:pPr>
      <w:numPr>
        <w:numId w:val="9"/>
      </w:numPr>
    </w:pPr>
  </w:style>
  <w:style w:type="paragraph" w:customStyle="1" w:styleId="ListAlpha2">
    <w:name w:val="List Alpha 2"/>
    <w:basedOn w:val="List2"/>
    <w:rsid w:val="00C551A0"/>
    <w:pPr>
      <w:numPr>
        <w:numId w:val="8"/>
      </w:numPr>
    </w:pPr>
  </w:style>
  <w:style w:type="paragraph" w:styleId="List2">
    <w:name w:val="List 2"/>
    <w:basedOn w:val="BodyText"/>
    <w:rsid w:val="00C551A0"/>
    <w:pPr>
      <w:tabs>
        <w:tab w:val="left" w:pos="680"/>
      </w:tabs>
      <w:spacing w:before="60" w:after="60"/>
      <w:ind w:left="680" w:hanging="340"/>
    </w:pPr>
  </w:style>
  <w:style w:type="paragraph" w:styleId="List3">
    <w:name w:val="List 3"/>
    <w:basedOn w:val="BodyText"/>
    <w:rsid w:val="00C551A0"/>
    <w:pPr>
      <w:tabs>
        <w:tab w:val="left" w:pos="1021"/>
      </w:tabs>
      <w:spacing w:before="60" w:after="60"/>
      <w:ind w:left="1020" w:hanging="340"/>
    </w:pPr>
  </w:style>
  <w:style w:type="paragraph" w:styleId="List4">
    <w:name w:val="List 4"/>
    <w:basedOn w:val="BodyText"/>
    <w:rsid w:val="00C551A0"/>
    <w:pPr>
      <w:tabs>
        <w:tab w:val="left" w:pos="1361"/>
      </w:tabs>
      <w:spacing w:before="60" w:after="60"/>
      <w:ind w:left="1361" w:hanging="340"/>
    </w:pPr>
  </w:style>
  <w:style w:type="paragraph" w:styleId="List5">
    <w:name w:val="List 5"/>
    <w:basedOn w:val="BodyText"/>
    <w:rsid w:val="00C551A0"/>
    <w:pPr>
      <w:tabs>
        <w:tab w:val="left" w:pos="1701"/>
      </w:tabs>
      <w:spacing w:before="60" w:after="60"/>
      <w:ind w:left="1701" w:hanging="340"/>
    </w:pPr>
  </w:style>
  <w:style w:type="paragraph" w:styleId="ListBullet3">
    <w:name w:val="List Bullet 3"/>
    <w:basedOn w:val="List3"/>
    <w:rsid w:val="00C551A0"/>
    <w:pPr>
      <w:numPr>
        <w:numId w:val="14"/>
      </w:numPr>
      <w:tabs>
        <w:tab w:val="clear" w:pos="1021"/>
      </w:tabs>
      <w:ind w:left="1037" w:hanging="357"/>
    </w:pPr>
  </w:style>
  <w:style w:type="paragraph" w:styleId="ListBullet4">
    <w:name w:val="List Bullet 4"/>
    <w:basedOn w:val="List4"/>
    <w:rsid w:val="00C551A0"/>
    <w:pPr>
      <w:numPr>
        <w:numId w:val="3"/>
      </w:numPr>
      <w:tabs>
        <w:tab w:val="clear" w:pos="1361"/>
      </w:tabs>
    </w:pPr>
  </w:style>
  <w:style w:type="paragraph" w:styleId="ListBullet5">
    <w:name w:val="List Bullet 5"/>
    <w:basedOn w:val="List5"/>
    <w:rsid w:val="00C551A0"/>
    <w:pPr>
      <w:numPr>
        <w:numId w:val="4"/>
      </w:numPr>
    </w:pPr>
  </w:style>
  <w:style w:type="paragraph" w:styleId="ListContinue2">
    <w:name w:val="List Continue 2"/>
    <w:basedOn w:val="List2"/>
    <w:rsid w:val="00C551A0"/>
    <w:pPr>
      <w:ind w:firstLine="0"/>
    </w:pPr>
  </w:style>
  <w:style w:type="paragraph" w:styleId="ListContinue3">
    <w:name w:val="List Continue 3"/>
    <w:basedOn w:val="List3"/>
    <w:rsid w:val="00C551A0"/>
    <w:pPr>
      <w:ind w:left="1021" w:firstLine="0"/>
    </w:pPr>
  </w:style>
  <w:style w:type="paragraph" w:styleId="ListContinue4">
    <w:name w:val="List Continue 4"/>
    <w:basedOn w:val="List4"/>
    <w:rsid w:val="00C551A0"/>
    <w:pPr>
      <w:ind w:firstLine="0"/>
    </w:pPr>
  </w:style>
  <w:style w:type="paragraph" w:styleId="ListContinue5">
    <w:name w:val="List Continue 5"/>
    <w:basedOn w:val="List5"/>
    <w:rsid w:val="00C551A0"/>
    <w:pPr>
      <w:ind w:firstLine="0"/>
    </w:pPr>
  </w:style>
  <w:style w:type="paragraph" w:styleId="ListNumber3">
    <w:name w:val="List Number 3"/>
    <w:basedOn w:val="List3"/>
    <w:rsid w:val="00C551A0"/>
    <w:pPr>
      <w:numPr>
        <w:numId w:val="5"/>
      </w:numPr>
    </w:pPr>
  </w:style>
  <w:style w:type="paragraph" w:styleId="ListNumber4">
    <w:name w:val="List Number 4"/>
    <w:basedOn w:val="List4"/>
    <w:rsid w:val="00C551A0"/>
    <w:pPr>
      <w:numPr>
        <w:numId w:val="6"/>
      </w:numPr>
    </w:pPr>
  </w:style>
  <w:style w:type="paragraph" w:styleId="ListNumber5">
    <w:name w:val="List Number 5"/>
    <w:basedOn w:val="List5"/>
    <w:rsid w:val="00C551A0"/>
    <w:pPr>
      <w:numPr>
        <w:numId w:val="7"/>
      </w:numPr>
    </w:pPr>
  </w:style>
  <w:style w:type="paragraph" w:styleId="BlockText">
    <w:name w:val="Block Text"/>
    <w:basedOn w:val="Normal"/>
    <w:rsid w:val="00C551A0"/>
    <w:pPr>
      <w:spacing w:after="120"/>
      <w:ind w:left="1440" w:right="1440"/>
    </w:pPr>
  </w:style>
  <w:style w:type="character" w:customStyle="1" w:styleId="Subscript">
    <w:name w:val="Subscript"/>
    <w:basedOn w:val="DefaultParagraphFont"/>
    <w:rsid w:val="00C551A0"/>
    <w:rPr>
      <w:sz w:val="16"/>
      <w:vertAlign w:val="subscript"/>
    </w:rPr>
  </w:style>
  <w:style w:type="character" w:customStyle="1" w:styleId="Superscript">
    <w:name w:val="Superscript"/>
    <w:basedOn w:val="DefaultParagraphFont"/>
    <w:rsid w:val="00C551A0"/>
    <w:rPr>
      <w:sz w:val="16"/>
      <w:vertAlign w:val="superscript"/>
    </w:rPr>
  </w:style>
  <w:style w:type="character" w:customStyle="1" w:styleId="Symbols">
    <w:name w:val="Symbols"/>
    <w:basedOn w:val="DefaultParagraphFont"/>
    <w:rsid w:val="00C551A0"/>
    <w:rPr>
      <w:rFonts w:ascii="Symbol" w:hAnsi="Symbol"/>
    </w:rPr>
  </w:style>
  <w:style w:type="character" w:customStyle="1" w:styleId="MenuOptions">
    <w:name w:val="Menu Options"/>
    <w:basedOn w:val="DefaultParagraphFont"/>
    <w:rsid w:val="00C551A0"/>
    <w:rPr>
      <w:rFonts w:ascii="Arial Narrow" w:hAnsi="Arial Narrow"/>
      <w:smallCaps/>
    </w:rPr>
  </w:style>
  <w:style w:type="character" w:customStyle="1" w:styleId="Buttons">
    <w:name w:val="Buttons"/>
    <w:basedOn w:val="DefaultParagraphFont"/>
    <w:rsid w:val="00C551A0"/>
    <w:rPr>
      <w:b/>
    </w:rPr>
  </w:style>
  <w:style w:type="character" w:customStyle="1" w:styleId="Underlined">
    <w:name w:val="Underlined"/>
    <w:basedOn w:val="DefaultParagraphFont"/>
    <w:rsid w:val="00C551A0"/>
    <w:rPr>
      <w:u w:val="single"/>
    </w:rPr>
  </w:style>
  <w:style w:type="paragraph" w:customStyle="1" w:styleId="TableBodyTextRight">
    <w:name w:val="Table Body Text Right"/>
    <w:basedOn w:val="TableBodyText"/>
    <w:rsid w:val="00C551A0"/>
    <w:pPr>
      <w:widowControl w:val="0"/>
      <w:autoSpaceDE w:val="0"/>
      <w:autoSpaceDN w:val="0"/>
      <w:adjustRightInd w:val="0"/>
      <w:jc w:val="right"/>
    </w:pPr>
    <w:rPr>
      <w:rFonts w:cs="Arial"/>
      <w:szCs w:val="18"/>
    </w:rPr>
  </w:style>
  <w:style w:type="paragraph" w:customStyle="1" w:styleId="CopyrightText">
    <w:name w:val="Copyright Text"/>
    <w:basedOn w:val="BodyText"/>
    <w:rsid w:val="00C551A0"/>
    <w:rPr>
      <w:sz w:val="18"/>
    </w:rPr>
  </w:style>
  <w:style w:type="paragraph" w:customStyle="1" w:styleId="BodySmallRight">
    <w:name w:val="Body Small Right"/>
    <w:basedOn w:val="BodyTextRight"/>
    <w:rsid w:val="00C551A0"/>
    <w:rPr>
      <w:sz w:val="18"/>
      <w:szCs w:val="18"/>
    </w:rPr>
  </w:style>
  <w:style w:type="paragraph" w:customStyle="1" w:styleId="MarginEdition">
    <w:name w:val="Margin Edition"/>
    <w:basedOn w:val="MarginNote"/>
    <w:rsid w:val="00C551A0"/>
    <w:pPr>
      <w:spacing w:before="0" w:after="0"/>
    </w:pPr>
    <w:rPr>
      <w:rFonts w:ascii="Times New Roman" w:hAnsi="Times New Roman"/>
      <w:color w:val="999999"/>
    </w:rPr>
  </w:style>
  <w:style w:type="paragraph" w:customStyle="1" w:styleId="Spacer">
    <w:name w:val="Spacer"/>
    <w:basedOn w:val="Normal"/>
    <w:rsid w:val="00C551A0"/>
    <w:rPr>
      <w:sz w:val="2"/>
      <w:szCs w:val="2"/>
    </w:rPr>
  </w:style>
  <w:style w:type="character" w:customStyle="1" w:styleId="Small">
    <w:name w:val="Small"/>
    <w:basedOn w:val="DefaultParagraphFont"/>
    <w:rsid w:val="00C551A0"/>
    <w:rPr>
      <w:sz w:val="16"/>
    </w:rPr>
  </w:style>
  <w:style w:type="paragraph" w:customStyle="1" w:styleId="WideTable">
    <w:name w:val="Wide Table"/>
    <w:basedOn w:val="Normal"/>
    <w:rsid w:val="00C551A0"/>
    <w:pPr>
      <w:ind w:left="-1418"/>
    </w:pPr>
    <w:rPr>
      <w:sz w:val="2"/>
      <w:szCs w:val="2"/>
    </w:rPr>
  </w:style>
  <w:style w:type="character" w:styleId="PageNumber">
    <w:name w:val="page number"/>
    <w:basedOn w:val="DefaultParagraphFont"/>
    <w:rsid w:val="00C551A0"/>
  </w:style>
  <w:style w:type="paragraph" w:styleId="Quote">
    <w:name w:val="Quote"/>
    <w:basedOn w:val="Heading1"/>
    <w:link w:val="QuoteChar"/>
    <w:qFormat/>
    <w:rsid w:val="00C551A0"/>
    <w:rPr>
      <w:b w:val="0"/>
      <w:sz w:val="72"/>
      <w:szCs w:val="72"/>
      <w:lang w:val="en-NZ"/>
    </w:rPr>
  </w:style>
  <w:style w:type="character" w:customStyle="1" w:styleId="QuoteChar">
    <w:name w:val="Quote Char"/>
    <w:basedOn w:val="DefaultParagraphFont"/>
    <w:link w:val="Quote"/>
    <w:rsid w:val="00C55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1A0"/>
    <w:pPr>
      <w:pageBreakBefore/>
    </w:pPr>
  </w:style>
  <w:style w:type="paragraph" w:customStyle="1" w:styleId="Border">
    <w:name w:val="Border"/>
    <w:basedOn w:val="Normal"/>
    <w:qFormat/>
    <w:rsid w:val="00C55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1A0"/>
    <w:rPr>
      <w:b/>
      <w:bCs/>
      <w:i/>
      <w:iCs/>
      <w:color w:val="auto"/>
    </w:rPr>
  </w:style>
  <w:style w:type="paragraph" w:styleId="IntenseQuote">
    <w:name w:val="Intense Quote"/>
    <w:basedOn w:val="Normal"/>
    <w:next w:val="Normal"/>
    <w:link w:val="IntenseQuoteChar"/>
    <w:uiPriority w:val="30"/>
    <w:qFormat/>
    <w:rsid w:val="00C55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1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1A0"/>
    <w:rPr>
      <w:smallCaps/>
      <w:color w:val="auto"/>
      <w:u w:val="single"/>
    </w:rPr>
  </w:style>
  <w:style w:type="character" w:styleId="IntenseReference">
    <w:name w:val="Intense Reference"/>
    <w:basedOn w:val="DefaultParagraphFont"/>
    <w:uiPriority w:val="32"/>
    <w:qFormat/>
    <w:rsid w:val="00C551A0"/>
    <w:rPr>
      <w:b/>
      <w:bCs/>
      <w:smallCaps/>
      <w:color w:val="auto"/>
      <w:spacing w:val="5"/>
      <w:u w:val="single"/>
    </w:rPr>
  </w:style>
  <w:style w:type="paragraph" w:customStyle="1" w:styleId="2ColumnHeading">
    <w:name w:val="2Column Heading"/>
    <w:basedOn w:val="BodyText"/>
    <w:qFormat/>
    <w:rsid w:val="00C551A0"/>
    <w:pPr>
      <w:spacing w:after="60"/>
      <w:ind w:left="-2268"/>
    </w:pPr>
    <w:rPr>
      <w:b/>
    </w:rPr>
  </w:style>
  <w:style w:type="paragraph" w:customStyle="1" w:styleId="Heading1TOC">
    <w:name w:val="Heading1 TOC"/>
    <w:basedOn w:val="Normal"/>
    <w:qFormat/>
    <w:rsid w:val="00C551A0"/>
    <w:pPr>
      <w:spacing w:before="240" w:after="120"/>
    </w:pPr>
    <w:rPr>
      <w:rFonts w:ascii="Times New Roman" w:hAnsi="Times New Roman"/>
      <w:b/>
      <w:sz w:val="32"/>
    </w:rPr>
  </w:style>
  <w:style w:type="paragraph" w:customStyle="1" w:styleId="Heading2TOC">
    <w:name w:val="Heading2 TOC"/>
    <w:basedOn w:val="Normal"/>
    <w:qFormat/>
    <w:rsid w:val="00C551A0"/>
    <w:pPr>
      <w:spacing w:before="240" w:after="60"/>
    </w:pPr>
    <w:rPr>
      <w:rFonts w:ascii="Times New Roman" w:hAnsi="Times New Roman"/>
      <w:b/>
      <w:sz w:val="28"/>
    </w:rPr>
  </w:style>
  <w:style w:type="character" w:customStyle="1" w:styleId="Underline">
    <w:name w:val="Underline"/>
    <w:basedOn w:val="DefaultParagraphFont"/>
    <w:qFormat/>
    <w:rsid w:val="00C551A0"/>
    <w:rPr>
      <w:u w:val="single"/>
    </w:rPr>
  </w:style>
  <w:style w:type="character" w:customStyle="1" w:styleId="BoldandItalics">
    <w:name w:val="Bold and Italics"/>
    <w:qFormat/>
    <w:rsid w:val="00C551A0"/>
    <w:rPr>
      <w:b/>
      <w:i/>
      <w:u w:val="none"/>
    </w:rPr>
  </w:style>
  <w:style w:type="paragraph" w:styleId="BalloonText">
    <w:name w:val="Balloon Text"/>
    <w:basedOn w:val="Normal"/>
    <w:link w:val="BalloonTextChar"/>
    <w:rsid w:val="00C551A0"/>
    <w:rPr>
      <w:rFonts w:ascii="Tahoma" w:hAnsi="Tahoma" w:cs="Tahoma"/>
      <w:sz w:val="16"/>
      <w:szCs w:val="16"/>
    </w:rPr>
  </w:style>
  <w:style w:type="character" w:customStyle="1" w:styleId="BalloonTextChar">
    <w:name w:val="Balloon Text Char"/>
    <w:basedOn w:val="DefaultParagraphFont"/>
    <w:link w:val="BalloonText"/>
    <w:rsid w:val="00C551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1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1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1A0"/>
    <w:rPr>
      <w:b/>
      <w:color w:val="660033"/>
      <w:spacing w:val="0"/>
    </w:rPr>
  </w:style>
  <w:style w:type="paragraph" w:customStyle="1" w:styleId="Nameditemlist">
    <w:name w:val="Named item list"/>
    <w:basedOn w:val="BodyText"/>
    <w:qFormat/>
    <w:rsid w:val="00C551A0"/>
    <w:pPr>
      <w:tabs>
        <w:tab w:val="left" w:pos="2835"/>
      </w:tabs>
      <w:ind w:left="2835" w:hanging="2835"/>
    </w:pPr>
  </w:style>
  <w:style w:type="paragraph" w:customStyle="1" w:styleId="BodyTextnopadding">
    <w:name w:val="Body Text no padding"/>
    <w:basedOn w:val="BodyText"/>
    <w:qFormat/>
    <w:rsid w:val="00C551A0"/>
    <w:pPr>
      <w:spacing w:before="0" w:after="0"/>
    </w:pPr>
  </w:style>
  <w:style w:type="paragraph" w:customStyle="1" w:styleId="BodyTextBold">
    <w:name w:val="Body Text Bold"/>
    <w:basedOn w:val="BodyText"/>
    <w:qFormat/>
    <w:rsid w:val="00C551A0"/>
    <w:rPr>
      <w:b/>
    </w:rPr>
  </w:style>
  <w:style w:type="character" w:styleId="Hyperlink">
    <w:name w:val="Hyperlink"/>
    <w:basedOn w:val="DefaultParagraphFont"/>
    <w:uiPriority w:val="99"/>
    <w:unhideWhenUsed/>
    <w:rsid w:val="00F33F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4421</Characters>
  <Application>Microsoft Office Word</Application>
  <DocSecurity>0</DocSecurity>
  <Lines>260</Lines>
  <Paragraphs>160</Paragraphs>
  <ScaleCrop>false</ScaleCrop>
  <Company>Author-it Software Corporation Ltd.</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MEM21005 Diagnose faults in quartz watches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2023-02-03T06:37:00Z</dcterms:created>
  <dcterms:modified xsi:type="dcterms:W3CDTF">2023-02-03T06:37:00Z</dcterms:modified>
</cp:coreProperties>
</file>