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F61" w:rsidP="008C1F61">
      <w:pPr>
        <w:pStyle w:val="Title"/>
      </w:pPr>
      <w:r>
        <w:fldChar w:fldCharType="begin"/>
      </w:r>
      <w:r>
        <w:instrText xml:space="preserve"> TITLE   \* MERGEFORMAT </w:instrText>
      </w:r>
      <w:r>
        <w:fldChar w:fldCharType="separate"/>
      </w:r>
      <w:r>
        <w:t>MEM21005 Diagnose faults in quartz watches</w:t>
      </w:r>
      <w:r>
        <w:fldChar w:fldCharType="end"/>
      </w:r>
    </w:p>
    <w:p w:rsidR="008C1F61" w:rsidP="008C1F61">
      <w:pPr>
        <w:pStyle w:val="Version"/>
        <w:sectPr w:rsidSect="00333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6CF" w:rsidP="003336CF">
      <w:pPr>
        <w:pStyle w:val="SuperHeading"/>
      </w:pPr>
      <w:r w:rsidRPr="003336CF">
        <w:t>MEM21005 Diagnose faults in quartz watches</w:t>
      </w:r>
    </w:p>
    <w:p w:rsidR="00000000" w:rsidRPr="003336CF" w:rsidP="003336CF">
      <w:pPr>
        <w:pStyle w:val="Heading1"/>
      </w:pPr>
      <w:bookmarkStart w:id="1" w:name="O_951198"/>
      <w:bookmarkEnd w:id="1"/>
      <w:r w:rsidRPr="003336CF">
        <w:t>Modification History</w:t>
      </w:r>
    </w:p>
    <w:p w:rsidR="00000000" w:rsidRPr="003336CF" w:rsidP="008C1F61">
      <w:pPr>
        <w:pStyle w:val="BodyText"/>
      </w:pPr>
      <w:r w:rsidRPr="003336CF">
        <w:t xml:space="preserve">Release 1. Supersedes and is equivalent to MEM21005A Diagnose faults in quartz watches </w:t>
      </w:r>
    </w:p>
    <w:p w:rsidR="00000000" w:rsidRPr="003336CF" w:rsidP="003336CF">
      <w:pPr>
        <w:pStyle w:val="Heading1"/>
      </w:pPr>
      <w:bookmarkStart w:id="2" w:name="O_951206"/>
      <w:bookmarkEnd w:id="2"/>
      <w:r w:rsidRPr="003336CF">
        <w:t>Application</w:t>
      </w:r>
    </w:p>
    <w:p w:rsidR="00000000" w:rsidRPr="003336CF" w:rsidP="008C1F61">
      <w:pPr>
        <w:pStyle w:val="BodyText"/>
      </w:pPr>
      <w:r w:rsidRPr="003336CF">
        <w:t>This unit of competency defines the skills and knowledge required to test and diagnose faults in electronic quartz wat</w:t>
      </w:r>
      <w:r w:rsidRPr="003336CF">
        <w:t>ches.</w:t>
      </w:r>
    </w:p>
    <w:p w:rsidR="00000000" w:rsidRPr="003336CF" w:rsidP="008C1F61">
      <w:pPr>
        <w:pStyle w:val="BodyText"/>
      </w:pPr>
      <w:r w:rsidRPr="003336CF">
        <w:t>It applies to diagnosing faults where the power cell performance has already been tested and its condition is assessed as good or the correct terminal voltage under load, but the watch continues to indicate faults or is stopped.</w:t>
      </w:r>
    </w:p>
    <w:p w:rsidR="00000000" w:rsidRPr="003336CF" w:rsidP="008C1F61">
      <w:pPr>
        <w:pStyle w:val="BodyText"/>
      </w:pPr>
      <w:r w:rsidRPr="003336CF">
        <w:t>No licensing, legis</w:t>
      </w:r>
      <w:r w:rsidRPr="003336CF">
        <w:t>lative or certification requirements apply to this unit at the time of publication.</w:t>
      </w:r>
    </w:p>
    <w:p w:rsidR="00000000" w:rsidRPr="003336CF" w:rsidP="008C1F61">
      <w:pPr>
        <w:pStyle w:val="Heading3"/>
      </w:pPr>
      <w:r w:rsidRPr="003336CF">
        <w:rPr>
          <w:rStyle w:val="SpecialBold"/>
        </w:rPr>
        <w:t>Band:  A</w:t>
      </w:r>
    </w:p>
    <w:p w:rsidR="00000000" w:rsidRPr="003336CF" w:rsidP="008C1F61">
      <w:pPr>
        <w:pStyle w:val="Heading3"/>
      </w:pPr>
      <w:r w:rsidRPr="003336CF">
        <w:rPr>
          <w:rStyle w:val="SpecialBold"/>
        </w:rPr>
        <w:t xml:space="preserve">Unit weight:  2 </w:t>
      </w:r>
    </w:p>
    <w:p w:rsidR="00000000" w:rsidRPr="003336CF" w:rsidP="003336CF">
      <w:pPr>
        <w:pStyle w:val="Heading1"/>
      </w:pPr>
      <w:bookmarkStart w:id="3" w:name="O_951205"/>
      <w:bookmarkEnd w:id="3"/>
      <w:r w:rsidRPr="003336CF">
        <w:t>Pre-requisite Unit</w:t>
      </w:r>
    </w:p>
    <w:tbl>
      <w:tblPr>
        <w:tblW w:w="0" w:type="auto"/>
        <w:tblLayout w:type="fixed"/>
        <w:tblCellMar>
          <w:left w:w="62" w:type="dxa"/>
          <w:right w:w="62" w:type="dxa"/>
        </w:tblCellMar>
        <w:tblLook w:val="0000"/>
      </w:tblPr>
      <w:tblGrid>
        <w:gridCol w:w="2186"/>
        <w:gridCol w:w="6886"/>
      </w:tblGrid>
      <w:tr w:rsidTr="003336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MEM13015</w:t>
            </w:r>
          </w:p>
        </w:tc>
        <w:tc>
          <w:tcPr>
            <w:tcW w:w="6886"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Work safely and effectively in manufacturing and engineering</w:t>
            </w:r>
          </w:p>
        </w:tc>
      </w:tr>
      <w:tr w:rsidTr="003336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MEM16006</w:t>
            </w:r>
          </w:p>
        </w:tc>
        <w:tc>
          <w:tcPr>
            <w:tcW w:w="6886"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Organise and communicate info</w:t>
            </w:r>
            <w:r w:rsidRPr="003336CF">
              <w:t>rmation</w:t>
            </w:r>
          </w:p>
        </w:tc>
      </w:tr>
      <w:tr w:rsidTr="003336CF">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MEM21001</w:t>
            </w:r>
          </w:p>
        </w:tc>
        <w:tc>
          <w:tcPr>
            <w:tcW w:w="6886" w:type="dxa"/>
            <w:tcBorders>
              <w:top w:val="nil"/>
              <w:left w:val="nil"/>
              <w:bottom w:val="nil"/>
              <w:right w:val="nil"/>
            </w:tcBorders>
            <w:tcMar>
              <w:top w:w="0" w:type="dxa"/>
              <w:left w:w="62" w:type="dxa"/>
              <w:bottom w:w="0" w:type="dxa"/>
              <w:right w:w="62" w:type="dxa"/>
            </w:tcMar>
          </w:tcPr>
          <w:p w:rsidR="00000000" w:rsidRPr="003336CF" w:rsidP="003336CF">
            <w:pPr>
              <w:pStyle w:val="BodyText"/>
            </w:pPr>
            <w:r w:rsidRPr="003336CF">
              <w:t>Replace watch batteries, capacitors and bands</w:t>
            </w:r>
          </w:p>
        </w:tc>
      </w:tr>
    </w:tbl>
    <w:p w:rsidR="00000000" w:rsidRPr="003336CF" w:rsidP="003336CF">
      <w:pPr>
        <w:pStyle w:val="BodyText"/>
      </w:pPr>
    </w:p>
    <w:p w:rsidR="00000000" w:rsidRPr="003336CF" w:rsidP="003336CF">
      <w:pPr>
        <w:pStyle w:val="AllowPageBreak"/>
      </w:pPr>
    </w:p>
    <w:p w:rsidR="00000000" w:rsidRPr="003336CF" w:rsidP="003336CF">
      <w:pPr>
        <w:pStyle w:val="Heading1"/>
      </w:pPr>
      <w:bookmarkStart w:id="4" w:name="O_951204"/>
      <w:bookmarkEnd w:id="4"/>
      <w:r w:rsidRPr="003336CF">
        <w:t>Competency Field</w:t>
      </w:r>
    </w:p>
    <w:p w:rsidR="00000000" w:rsidRPr="003336CF" w:rsidP="008C1F61">
      <w:pPr>
        <w:pStyle w:val="BodyText"/>
      </w:pPr>
      <w:r w:rsidRPr="003336CF">
        <w:t>Horology</w:t>
      </w:r>
    </w:p>
    <w:p w:rsidR="00000000" w:rsidRPr="003336CF" w:rsidP="003336CF">
      <w:pPr>
        <w:pStyle w:val="Heading1"/>
      </w:pPr>
      <w:bookmarkStart w:id="5" w:name="O_951202"/>
      <w:bookmarkEnd w:id="5"/>
      <w:r w:rsidRPr="003336C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336C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Performance criteria describe the performance needed to demonstrate achievement of the element.</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36CF" w:rsidP="003336CF">
            <w:pPr>
              <w:pStyle w:val="BodyText"/>
            </w:pPr>
            <w:r w:rsidRPr="003336CF">
              <w:t>1</w:t>
            </w:r>
          </w:p>
        </w:tc>
        <w:tc>
          <w:tcPr>
            <w:tcW w:w="1986" w:type="dxa"/>
            <w:vMerge w:val="restart"/>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 xml:space="preserve">Determine job </w:t>
            </w:r>
            <w:r w:rsidRPr="003336CF">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1.1</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Follow standard operating procedures (SOPs)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1.2</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Comply with work health and safety (WHS) requirements at all times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1.3</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Select and use appropriate personal protective equipment (PPE) in accordance with SOPs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1.4</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Identify job requirements from specifications, job sheets or work instructions</w:t>
            </w:r>
          </w:p>
        </w:tc>
      </w:tr>
      <w:tr w:rsidTr="003336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336CF">
            <w:pPr>
              <w:pStyle w:val="BodyText"/>
              <w:rPr>
                <w:lang w:val="en-NZ"/>
              </w:rPr>
            </w:pP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36CF" w:rsidP="003336CF">
            <w:pPr>
              <w:pStyle w:val="BodyText"/>
            </w:pPr>
            <w:r w:rsidRPr="003336CF">
              <w:t>2</w:t>
            </w:r>
          </w:p>
        </w:tc>
        <w:tc>
          <w:tcPr>
            <w:tcW w:w="1986" w:type="dxa"/>
            <w:vMerge w:val="restart"/>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Establish servicing requirements and liaise with customer</w:t>
            </w: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2.1</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Verify watch condition and performance concerns with customer</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2.2</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Prepare written and verbal quotations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2.3</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Confirm customer agreement on recommended service procedures to remedy faults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2.4</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Record and document repair process</w:t>
            </w:r>
          </w:p>
        </w:tc>
      </w:tr>
      <w:tr w:rsidTr="003336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336CF">
            <w:pPr>
              <w:pStyle w:val="BodyText"/>
              <w:rPr>
                <w:lang w:val="en-NZ"/>
              </w:rPr>
            </w:pP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36CF" w:rsidP="003336CF">
            <w:pPr>
              <w:pStyle w:val="BodyText"/>
            </w:pPr>
            <w:r w:rsidRPr="003336CF">
              <w:t>3</w:t>
            </w:r>
          </w:p>
        </w:tc>
        <w:tc>
          <w:tcPr>
            <w:tcW w:w="1986" w:type="dxa"/>
            <w:vMerge w:val="restart"/>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Open and close watch cases</w:t>
            </w: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3.1</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Determine need to open case for further testing</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3.2</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Select and use appropriate workshop tools and equipment</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3.3</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Open and close watch cases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3.4</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Inspect parts and report and record results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3.5</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Verify gasket condition and replace, as required</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3.6</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Clean cases and bands during and after repair, as required</w:t>
            </w:r>
          </w:p>
        </w:tc>
      </w:tr>
      <w:tr w:rsidTr="003336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336CF">
            <w:pPr>
              <w:pStyle w:val="BodyText"/>
              <w:rPr>
                <w:lang w:val="en-NZ"/>
              </w:rPr>
            </w:pP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36CF" w:rsidP="003336CF">
            <w:pPr>
              <w:pStyle w:val="BodyText"/>
            </w:pPr>
            <w:r w:rsidRPr="003336CF">
              <w:t>4</w:t>
            </w:r>
          </w:p>
        </w:tc>
        <w:tc>
          <w:tcPr>
            <w:tcW w:w="1986" w:type="dxa"/>
            <w:vMerge w:val="restart"/>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Perform test</w:t>
            </w: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4.1</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 xml:space="preserve">Select appropriate tests for the type of quartz watch </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4.2</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Select and use appropriate workshop testing equipment</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4.3</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Test quartz watch output signals using industry-specific equipment</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4.4</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 xml:space="preserve">Assess mechanical condition, including freedom of gear train, as applicable </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4.5</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Maintain testing equipment</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4.6</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Record test results</w:t>
            </w:r>
          </w:p>
        </w:tc>
      </w:tr>
      <w:tr w:rsidTr="003336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336CF">
            <w:pPr>
              <w:pStyle w:val="BodyText"/>
              <w:rPr>
                <w:lang w:val="en-NZ"/>
              </w:rPr>
            </w:pP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36CF" w:rsidP="003336CF">
            <w:pPr>
              <w:pStyle w:val="BodyText"/>
            </w:pPr>
            <w:r w:rsidRPr="003336CF">
              <w:t>5</w:t>
            </w:r>
          </w:p>
        </w:tc>
        <w:tc>
          <w:tcPr>
            <w:tcW w:w="1986" w:type="dxa"/>
            <w:vMerge w:val="restart"/>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Analyse results and determine faults</w:t>
            </w: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5.1</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Interpret test results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5.2</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Carry out further testing to locate faulty components, as required</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5.3</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Confirm results against manufacturer specifications</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5.4</w:t>
            </w:r>
          </w:p>
        </w:tc>
        <w:tc>
          <w:tcPr>
            <w:tcW w:w="5678"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Identify faults from test information</w:t>
            </w:r>
          </w:p>
        </w:tc>
      </w:tr>
      <w:tr w:rsidTr="003336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5.5</w:t>
            </w:r>
          </w:p>
        </w:tc>
        <w:tc>
          <w:tcPr>
            <w:tcW w:w="5678" w:type="dxa"/>
            <w:tcBorders>
              <w:top w:val="nil"/>
              <w:left w:val="nil"/>
              <w:bottom w:val="nil"/>
              <w:right w:val="nil"/>
            </w:tcBorders>
            <w:tcMar>
              <w:top w:w="0" w:type="dxa"/>
              <w:left w:w="62" w:type="dxa"/>
              <w:bottom w:w="0" w:type="dxa"/>
              <w:right w:w="62" w:type="dxa"/>
            </w:tcMar>
          </w:tcPr>
          <w:p w:rsidR="00000000" w:rsidRPr="003336CF" w:rsidP="003336CF">
            <w:pPr>
              <w:pStyle w:val="BodyText"/>
            </w:pPr>
            <w:r w:rsidRPr="003336CF">
              <w:t>Evaluate record and communicate recommended servicing requirements</w:t>
            </w:r>
          </w:p>
        </w:tc>
      </w:tr>
    </w:tbl>
    <w:p w:rsidR="00000000" w:rsidRPr="003336CF" w:rsidP="003336CF">
      <w:pPr>
        <w:pStyle w:val="BodyText"/>
      </w:pPr>
    </w:p>
    <w:p w:rsidR="00000000" w:rsidRPr="003336CF" w:rsidP="003336CF">
      <w:pPr>
        <w:pStyle w:val="AllowPageBreak"/>
      </w:pPr>
    </w:p>
    <w:p w:rsidR="00000000" w:rsidRPr="003336CF" w:rsidP="003336CF">
      <w:pPr>
        <w:pStyle w:val="Heading1"/>
      </w:pPr>
      <w:bookmarkStart w:id="6" w:name="O_951201"/>
      <w:bookmarkEnd w:id="6"/>
      <w:r w:rsidRPr="003336CF">
        <w:t>Foundation Skills</w:t>
      </w:r>
    </w:p>
    <w:p w:rsidR="00000000" w:rsidRPr="003336CF" w:rsidP="008C1F61">
      <w:pPr>
        <w:pStyle w:val="BodyText"/>
      </w:pPr>
      <w:r w:rsidRPr="003336CF">
        <w:t>This section describes those required skills (reading, writing, oral communication and numeracy) that are essential to workplace performance in this uni</w:t>
      </w:r>
      <w:r w:rsidRPr="003336CF">
        <w:t xml:space="preserve">t of competency.  </w:t>
      </w:r>
    </w:p>
    <w:p w:rsidR="00000000" w:rsidRPr="003336CF" w:rsidP="008C1F61">
      <w:pPr>
        <w:pStyle w:val="BodyText"/>
      </w:pPr>
      <w:r w:rsidRPr="003336CF">
        <w:t>Foundation skills essential to performance are explicit in the performance criteria of this unit of competency.</w:t>
      </w:r>
    </w:p>
    <w:p w:rsidR="00000000" w:rsidRPr="003336CF" w:rsidP="003336CF">
      <w:pPr>
        <w:pStyle w:val="Heading1"/>
      </w:pPr>
      <w:bookmarkStart w:id="7" w:name="O_951200"/>
      <w:bookmarkEnd w:id="7"/>
      <w:r w:rsidRPr="003336CF">
        <w:t>Range of Conditions</w:t>
      </w:r>
    </w:p>
    <w:tbl>
      <w:tblPr>
        <w:tblW w:w="0" w:type="auto"/>
        <w:tblLayout w:type="fixed"/>
        <w:tblCellMar>
          <w:left w:w="62" w:type="dxa"/>
          <w:right w:w="62" w:type="dxa"/>
        </w:tblCellMar>
        <w:tblLook w:val="0000"/>
      </w:tblPr>
      <w:tblGrid>
        <w:gridCol w:w="2641"/>
        <w:gridCol w:w="6501"/>
      </w:tblGrid>
      <w:tr w:rsidTr="003336C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t>This field allows for different work environments and conditions that may affect performance. Essential operating conditions that may be present (depending on the work situation, needs of the candidate, accessibility of the item, and local industry and reg</w:t>
            </w:r>
            <w:r w:rsidRPr="003336CF">
              <w:t>ional contexts) are included.</w:t>
            </w:r>
          </w:p>
        </w:tc>
      </w:tr>
      <w:tr w:rsidTr="003336CF">
        <w:tblPrEx>
          <w:tblW w:w="0" w:type="auto"/>
          <w:tblLayout w:type="fixed"/>
          <w:tblCellMar>
            <w:left w:w="62" w:type="dxa"/>
            <w:right w:w="62" w:type="dxa"/>
          </w:tblCellMar>
          <w:tblLook w:val="0000"/>
        </w:tblPrEx>
        <w:trPr>
          <w:trHeight w:val="2141"/>
        </w:trPr>
        <w:tc>
          <w:tcPr>
            <w:tcW w:w="2641"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Types of quartz watches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336CF" w:rsidP="003336CF">
            <w:pPr>
              <w:pStyle w:val="ListBullet"/>
            </w:pPr>
            <w:r w:rsidRPr="003336CF">
              <w:t>analog, digital and duo displays</w:t>
            </w:r>
          </w:p>
          <w:p w:rsidR="00000000" w:rsidRPr="003336CF" w:rsidP="003336CF">
            <w:pPr>
              <w:pStyle w:val="ListBullet"/>
            </w:pPr>
            <w:r w:rsidRPr="003336CF">
              <w:t>anadigi</w:t>
            </w:r>
          </w:p>
          <w:p w:rsidR="00000000" w:rsidRPr="003336CF" w:rsidP="003336CF">
            <w:pPr>
              <w:pStyle w:val="ListBullet"/>
            </w:pPr>
            <w:r w:rsidRPr="003336CF">
              <w:t>calendar and/or moon phase</w:t>
            </w:r>
          </w:p>
          <w:p w:rsidR="00000000" w:rsidRPr="003336CF" w:rsidP="003336CF">
            <w:pPr>
              <w:pStyle w:val="ListBullet"/>
            </w:pPr>
            <w:r w:rsidRPr="003336CF">
              <w:t>chronograph and perpetual calendar</w:t>
            </w:r>
          </w:p>
          <w:p w:rsidR="00000000" w:rsidRPr="003336CF" w:rsidP="003336CF">
            <w:pPr>
              <w:pStyle w:val="ListBullet"/>
            </w:pPr>
            <w:r w:rsidRPr="003336CF">
              <w:t>alarm and kinetic</w:t>
            </w:r>
          </w:p>
          <w:p w:rsidR="00000000" w:rsidP="003336CF">
            <w:pPr>
              <w:pStyle w:val="ListBullet"/>
              <w:rPr>
                <w:lang w:val="en-NZ"/>
              </w:rPr>
            </w:pPr>
            <w:r w:rsidRPr="003336CF">
              <w:t>auto quartz</w:t>
            </w:r>
          </w:p>
        </w:tc>
      </w:tr>
      <w:tr w:rsidTr="003336CF">
        <w:tblPrEx>
          <w:tblW w:w="0" w:type="auto"/>
          <w:tblLayout w:type="fixed"/>
          <w:tblCellMar>
            <w:left w:w="62" w:type="dxa"/>
            <w:right w:w="62" w:type="dxa"/>
          </w:tblCellMar>
          <w:tblLook w:val="0000"/>
        </w:tblPrEx>
        <w:trPr>
          <w:trHeight w:val="1798"/>
        </w:trPr>
        <w:tc>
          <w:tcPr>
            <w:tcW w:w="2641"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Record and document repair process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336CF" w:rsidP="003336CF">
            <w:pPr>
              <w:pStyle w:val="ListBullet"/>
            </w:pPr>
            <w:r w:rsidRPr="003336CF">
              <w:t>reference to manufacturers</w:t>
            </w:r>
            <w:r>
              <w:t>’</w:t>
            </w:r>
            <w:r w:rsidRPr="003336CF">
              <w:t xml:space="preserve"> technical guides </w:t>
            </w:r>
          </w:p>
          <w:p w:rsidR="00000000" w:rsidRPr="003336CF" w:rsidP="003336CF">
            <w:pPr>
              <w:pStyle w:val="ListBullet"/>
            </w:pPr>
            <w:r w:rsidRPr="003336CF">
              <w:t xml:space="preserve">customer written quotation detailing faults </w:t>
            </w:r>
          </w:p>
          <w:p w:rsidR="00000000" w:rsidRPr="003336CF" w:rsidP="003336CF">
            <w:pPr>
              <w:pStyle w:val="ListBullet"/>
            </w:pPr>
            <w:r w:rsidRPr="003336CF">
              <w:t xml:space="preserve">recommendations of most appropriate service procedure </w:t>
            </w:r>
          </w:p>
          <w:p w:rsidR="00000000" w:rsidRPr="003336CF" w:rsidP="003336CF">
            <w:pPr>
              <w:pStyle w:val="ListBullet"/>
            </w:pPr>
            <w:r w:rsidRPr="003336CF">
              <w:t>estimation of replacement part</w:t>
            </w:r>
          </w:p>
          <w:p w:rsidR="00000000" w:rsidP="003336CF">
            <w:pPr>
              <w:pStyle w:val="ListBullet"/>
              <w:rPr>
                <w:lang w:val="en-NZ"/>
              </w:rPr>
            </w:pPr>
            <w:r w:rsidRPr="003336CF">
              <w:t>time spent on procedure</w:t>
            </w:r>
          </w:p>
        </w:tc>
      </w:tr>
      <w:tr w:rsidTr="003336CF">
        <w:tblPrEx>
          <w:tblW w:w="0" w:type="auto"/>
          <w:tblLayout w:type="fixed"/>
          <w:tblCellMar>
            <w:left w:w="62" w:type="dxa"/>
            <w:right w:w="62" w:type="dxa"/>
          </w:tblCellMar>
          <w:tblLook w:val="0000"/>
        </w:tblPrEx>
        <w:trPr>
          <w:trHeight w:val="1895"/>
        </w:trPr>
        <w:tc>
          <w:tcPr>
            <w:tcW w:w="2641"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336CF" w:rsidP="003336CF">
            <w:pPr>
              <w:pStyle w:val="ListBullet"/>
            </w:pPr>
            <w:r w:rsidRPr="003336CF">
              <w:t>watch case opening and closing tools</w:t>
            </w:r>
          </w:p>
          <w:p w:rsidR="00000000" w:rsidRPr="003336CF" w:rsidP="003336CF">
            <w:pPr>
              <w:pStyle w:val="ListBullet"/>
            </w:pPr>
            <w:r w:rsidRPr="003336CF">
              <w:t>hand tools, including:</w:t>
            </w:r>
          </w:p>
          <w:p w:rsidR="00000000" w:rsidRPr="003336CF" w:rsidP="003336CF">
            <w:pPr>
              <w:pStyle w:val="ListBullet2"/>
            </w:pPr>
            <w:r w:rsidRPr="003336CF">
              <w:t>tweezers</w:t>
            </w:r>
          </w:p>
          <w:p w:rsidR="00000000" w:rsidRPr="003336CF" w:rsidP="003336CF">
            <w:pPr>
              <w:pStyle w:val="ListBullet2"/>
            </w:pPr>
            <w:r w:rsidRPr="003336CF">
              <w:t xml:space="preserve">screwdrivers </w:t>
            </w:r>
          </w:p>
          <w:p w:rsidR="00000000" w:rsidP="003336CF">
            <w:pPr>
              <w:pStyle w:val="ListBullet2"/>
              <w:rPr>
                <w:lang w:val="en-NZ"/>
              </w:rPr>
            </w:pPr>
            <w:r w:rsidRPr="003336CF">
              <w:t>eyeglasses</w:t>
            </w:r>
          </w:p>
        </w:tc>
      </w:tr>
      <w:tr w:rsidTr="003336CF">
        <w:tblPrEx>
          <w:tblW w:w="0" w:type="auto"/>
          <w:tblLayout w:type="fixed"/>
          <w:tblCellMar>
            <w:left w:w="62" w:type="dxa"/>
            <w:right w:w="62" w:type="dxa"/>
          </w:tblCellMar>
          <w:tblLook w:val="0000"/>
        </w:tblPrEx>
        <w:trPr>
          <w:trHeight w:val="2794"/>
        </w:trPr>
        <w:tc>
          <w:tcPr>
            <w:tcW w:w="2641"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Tests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336CF" w:rsidP="003336CF">
            <w:pPr>
              <w:pStyle w:val="ListBullet"/>
            </w:pPr>
            <w:r w:rsidRPr="003336CF">
              <w:t>acoustic, capacitive and inductive pick-ups/sensors</w:t>
            </w:r>
          </w:p>
          <w:p w:rsidR="00000000" w:rsidRPr="003336CF" w:rsidP="003336CF">
            <w:pPr>
              <w:pStyle w:val="ListBullet"/>
            </w:pPr>
            <w:r w:rsidRPr="003336CF">
              <w:t>quartz crystal oscillating signals (32 KHz)</w:t>
            </w:r>
          </w:p>
          <w:p w:rsidR="00000000" w:rsidRPr="003336CF" w:rsidP="003336CF">
            <w:pPr>
              <w:pStyle w:val="ListBullet"/>
            </w:pPr>
            <w:r w:rsidRPr="003336CF">
              <w:t>voltage, resistance and current consumption</w:t>
            </w:r>
          </w:p>
          <w:p w:rsidR="00000000" w:rsidRPr="003336CF" w:rsidP="003336CF">
            <w:pPr>
              <w:pStyle w:val="ListBullet"/>
            </w:pPr>
            <w:r w:rsidRPr="003336CF">
              <w:t>output pulses (integrated circuits)</w:t>
            </w:r>
          </w:p>
          <w:p w:rsidR="00000000" w:rsidRPr="003336CF" w:rsidP="003336CF">
            <w:pPr>
              <w:pStyle w:val="ListBullet"/>
            </w:pPr>
            <w:r w:rsidRPr="003336CF">
              <w:t xml:space="preserve">pulse generation of step motor </w:t>
            </w:r>
          </w:p>
          <w:p w:rsidR="00000000" w:rsidRPr="003336CF" w:rsidP="003336CF">
            <w:pPr>
              <w:pStyle w:val="ListBullet"/>
            </w:pPr>
            <w:r w:rsidRPr="003336CF">
              <w:t xml:space="preserve">lower working limit </w:t>
            </w:r>
          </w:p>
          <w:p w:rsidR="00000000" w:rsidRPr="003336CF" w:rsidP="003336CF">
            <w:pPr>
              <w:pStyle w:val="ListBullet"/>
            </w:pPr>
            <w:r w:rsidRPr="003336CF">
              <w:t xml:space="preserve">capacitive rate </w:t>
            </w:r>
          </w:p>
          <w:p w:rsidR="00000000" w:rsidP="003336CF">
            <w:pPr>
              <w:pStyle w:val="ListBullet"/>
              <w:rPr>
                <w:lang w:val="en-NZ"/>
              </w:rPr>
            </w:pPr>
            <w:r w:rsidRPr="003336CF">
              <w:t>inhibition rate</w:t>
            </w:r>
          </w:p>
        </w:tc>
      </w:tr>
      <w:tr w:rsidTr="003336CF">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Workshop testing equipment</w:t>
            </w:r>
            <w:r w:rsidRPr="003336CF">
              <w:t xml:space="preserve"> </w:t>
            </w:r>
            <w:r w:rsidRPr="003336CF">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336CF" w:rsidP="003336CF">
            <w:pPr>
              <w:pStyle w:val="ListBullet"/>
            </w:pPr>
            <w:r w:rsidRPr="003336CF">
              <w:t>quartz timing machines with acoustic and capacitive pick-up</w:t>
            </w:r>
          </w:p>
          <w:p w:rsidR="00000000" w:rsidRPr="003336CF" w:rsidP="003336CF">
            <w:pPr>
              <w:pStyle w:val="ListBullet"/>
            </w:pPr>
            <w:r w:rsidRPr="003336CF">
              <w:t>inductive pick-up sensors</w:t>
            </w:r>
          </w:p>
          <w:p w:rsidR="00000000" w:rsidRPr="003336CF" w:rsidP="003336CF">
            <w:pPr>
              <w:pStyle w:val="ListBullet"/>
            </w:pPr>
            <w:r w:rsidRPr="003336CF">
              <w:t>multimeters</w:t>
            </w:r>
          </w:p>
          <w:p w:rsidR="00000000" w:rsidRPr="003336CF" w:rsidP="003336CF">
            <w:pPr>
              <w:pStyle w:val="ListBullet"/>
            </w:pPr>
            <w:r w:rsidRPr="003336CF">
              <w:t>variable voltage supplies</w:t>
            </w:r>
          </w:p>
          <w:p w:rsidR="00000000" w:rsidP="003336CF">
            <w:pPr>
              <w:pStyle w:val="ListBullet"/>
              <w:rPr>
                <w:lang w:val="en-NZ"/>
              </w:rPr>
            </w:pPr>
            <w:r w:rsidRPr="003336CF">
              <w:t>pulse generators</w:t>
            </w:r>
          </w:p>
        </w:tc>
      </w:tr>
      <w:tr w:rsidTr="003336CF">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3336CF">
            <w:pPr>
              <w:pStyle w:val="BodyText"/>
              <w:rPr>
                <w:lang w:val="en-NZ"/>
              </w:rPr>
            </w:pPr>
            <w:r w:rsidRPr="003336CF">
              <w:rPr>
                <w:rStyle w:val="SpecialBold"/>
              </w:rPr>
              <w:t>Faulty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336CF" w:rsidP="003336CF">
            <w:pPr>
              <w:pStyle w:val="ListBullet"/>
            </w:pPr>
            <w:r w:rsidRPr="003336CF">
              <w:t>quartz crystal</w:t>
            </w:r>
          </w:p>
          <w:p w:rsidR="00000000" w:rsidRPr="003336CF" w:rsidP="003336CF">
            <w:pPr>
              <w:pStyle w:val="ListBullet"/>
            </w:pPr>
            <w:r w:rsidRPr="003336CF">
              <w:t>integrated circuits</w:t>
            </w:r>
          </w:p>
          <w:p w:rsidR="00000000" w:rsidRPr="003336CF" w:rsidP="003336CF">
            <w:pPr>
              <w:pStyle w:val="ListBullet"/>
            </w:pPr>
            <w:r w:rsidRPr="003336CF">
              <w:t>electronic circuits</w:t>
            </w:r>
          </w:p>
          <w:p w:rsidR="00000000" w:rsidRPr="003336CF" w:rsidP="003336CF">
            <w:pPr>
              <w:pStyle w:val="ListBullet"/>
            </w:pPr>
            <w:r w:rsidRPr="003336CF">
              <w:t>coils</w:t>
            </w:r>
          </w:p>
          <w:p w:rsidR="00000000" w:rsidRPr="003336CF" w:rsidP="003336CF">
            <w:pPr>
              <w:pStyle w:val="ListBullet"/>
            </w:pPr>
            <w:r w:rsidRPr="003336CF">
              <w:t>step motors</w:t>
            </w:r>
          </w:p>
          <w:p w:rsidR="00000000" w:rsidRPr="003336CF" w:rsidP="003336CF">
            <w:pPr>
              <w:pStyle w:val="ListBullet"/>
            </w:pPr>
            <w:r w:rsidRPr="003336CF">
              <w:t>gear train</w:t>
            </w:r>
          </w:p>
          <w:p w:rsidR="00000000" w:rsidRPr="003336CF" w:rsidP="003336CF">
            <w:pPr>
              <w:pStyle w:val="ListBullet"/>
            </w:pPr>
            <w:r w:rsidRPr="003336CF">
              <w:t>dial train</w:t>
            </w:r>
          </w:p>
          <w:p w:rsidR="00000000" w:rsidRPr="003336CF" w:rsidP="003336CF">
            <w:pPr>
              <w:pStyle w:val="ListBullet"/>
            </w:pPr>
            <w:r w:rsidRPr="003336CF">
              <w:t>dials and hands</w:t>
            </w:r>
          </w:p>
        </w:tc>
      </w:tr>
    </w:tbl>
    <w:p w:rsidR="00000000" w:rsidRPr="003336CF" w:rsidP="003336CF">
      <w:pPr>
        <w:pStyle w:val="BodyText"/>
      </w:pPr>
    </w:p>
    <w:p w:rsidR="00000000" w:rsidRPr="003336CF" w:rsidP="003336CF">
      <w:pPr>
        <w:pStyle w:val="AllowPageBreak"/>
      </w:pPr>
    </w:p>
    <w:p w:rsidR="00000000" w:rsidRPr="003336CF" w:rsidP="003336CF">
      <w:pPr>
        <w:pStyle w:val="Heading1"/>
      </w:pPr>
      <w:bookmarkStart w:id="8" w:name="O_951199"/>
      <w:bookmarkEnd w:id="8"/>
      <w:r w:rsidRPr="003336CF">
        <w:t>Unit Mapping Information</w:t>
      </w:r>
    </w:p>
    <w:p w:rsidR="00000000" w:rsidRPr="003336CF" w:rsidP="008C1F61">
      <w:pPr>
        <w:pStyle w:val="BodyText"/>
      </w:pPr>
      <w:r w:rsidRPr="003336CF">
        <w:t xml:space="preserve">Release 1. Supersedes and is equivalent to MEM21005A Diagnose faults in quartz watches </w:t>
      </w:r>
    </w:p>
    <w:p w:rsidR="00000000" w:rsidRPr="003336CF" w:rsidP="003336CF">
      <w:pPr>
        <w:pStyle w:val="Heading1"/>
      </w:pPr>
      <w:bookmarkStart w:id="9" w:name="O_951192"/>
      <w:bookmarkEnd w:id="9"/>
      <w:r w:rsidRPr="003336CF">
        <w:t>Links</w:t>
      </w:r>
    </w:p>
    <w:p w:rsidR="00000000" w:rsidRPr="003336CF" w:rsidP="008C1F61">
      <w:pPr>
        <w:pStyle w:val="BodyText"/>
      </w:pPr>
      <w:r w:rsidRPr="003336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61AEC">
        <w:rPr>
          <w:rStyle w:val="Hyperlink"/>
        </w:rPr>
        <w:t>https://vetnet.gov.au/Pages/TrainingDocs.aspx?q=b7050d37-5fd0-4740-8f7d-3b7a49c10bb2</w:t>
      </w:r>
      <w:r>
        <w:fldChar w:fldCharType="end"/>
      </w:r>
    </w:p>
    <w:p w:rsidR="00000000" w:rsidRPr="003336CF" w:rsidP="008C1F61">
      <w:pPr>
        <w:pStyle w:val="BodyText"/>
        <w:sectPr w:rsidSect="003336CF">
          <w:headerReference w:type="default" r:id="rId10"/>
          <w:footerReference w:type="default" r:id="rId11"/>
          <w:pgSz w:w="11908" w:h="16833"/>
          <w:pgMar w:top="1702" w:right="1418" w:bottom="1702" w:left="1418" w:header="992" w:footer="992" w:gutter="0"/>
          <w:cols w:space="720"/>
          <w:noEndnote/>
          <w:docGrid w:linePitch="299"/>
        </w:sectPr>
      </w:pPr>
    </w:p>
    <w:p w:rsidR="00000000" w:rsidRPr="003336CF" w:rsidP="003336CF">
      <w:pPr>
        <w:pStyle w:val="SuperHeading"/>
      </w:pPr>
      <w:r w:rsidRPr="003336CF">
        <w:t>Assessment Requirements for MEM21005 Diagnose faults in quartz watches</w:t>
      </w:r>
    </w:p>
    <w:p w:rsidR="00000000" w:rsidRPr="003336CF" w:rsidP="003336CF">
      <w:pPr>
        <w:pStyle w:val="Heading1"/>
      </w:pPr>
      <w:bookmarkStart w:id="10" w:name="O_951194"/>
      <w:bookmarkEnd w:id="10"/>
      <w:r w:rsidRPr="003336CF">
        <w:t>Modification History</w:t>
      </w:r>
    </w:p>
    <w:p w:rsidR="00000000" w:rsidRPr="003336CF" w:rsidP="008C1F61">
      <w:pPr>
        <w:pStyle w:val="BodyText"/>
      </w:pPr>
      <w:r w:rsidRPr="003336CF">
        <w:t xml:space="preserve">Release 1. Supersedes and is equivalent to MEM21005A Diagnose faults in quartz watches </w:t>
      </w:r>
    </w:p>
    <w:p w:rsidR="00000000" w:rsidRPr="003336CF" w:rsidP="003336CF">
      <w:pPr>
        <w:pStyle w:val="Heading1"/>
      </w:pPr>
      <w:bookmarkStart w:id="11" w:name="O_951197"/>
      <w:bookmarkEnd w:id="11"/>
      <w:r w:rsidRPr="003336CF">
        <w:t>Performance Evidence</w:t>
      </w:r>
    </w:p>
    <w:p w:rsidR="00000000" w:rsidRPr="003336CF" w:rsidP="008C1F61">
      <w:pPr>
        <w:pStyle w:val="BodyText"/>
      </w:pPr>
      <w:r w:rsidRPr="003336CF">
        <w:t>Evidence required to demonstrate competence in this unit must be relevant to and satisfy the requirements of the elements and performance criteria on at least two (2) occasions and include:</w:t>
      </w:r>
    </w:p>
    <w:p w:rsidR="00000000" w:rsidRPr="003336CF" w:rsidP="003336CF">
      <w:pPr>
        <w:pStyle w:val="ListBullet"/>
      </w:pPr>
      <w:r w:rsidRPr="003336CF">
        <w:t>following work instructions, standar</w:t>
      </w:r>
      <w:r w:rsidRPr="003336CF">
        <w:t xml:space="preserve">d operating procedures (SOPs) and safe work practices </w:t>
      </w:r>
    </w:p>
    <w:p w:rsidR="00000000" w:rsidRPr="003336CF" w:rsidP="003336CF">
      <w:pPr>
        <w:pStyle w:val="ListBullet"/>
      </w:pPr>
      <w:r w:rsidRPr="003336CF">
        <w:t>liaising with customer and verifying condition and performance, identifying repair costs, and recording and documenting repair process</w:t>
      </w:r>
    </w:p>
    <w:p w:rsidR="00000000" w:rsidRPr="003336CF" w:rsidP="003336CF">
      <w:pPr>
        <w:pStyle w:val="ListBullet"/>
      </w:pPr>
      <w:r w:rsidRPr="003336CF">
        <w:t>opening and closing watch cases using appropriate workshop tools a</w:t>
      </w:r>
      <w:r w:rsidRPr="003336CF">
        <w:t xml:space="preserve">nd equipment </w:t>
      </w:r>
    </w:p>
    <w:p w:rsidR="00000000" w:rsidRPr="003336CF" w:rsidP="003336CF">
      <w:pPr>
        <w:pStyle w:val="ListBullet"/>
      </w:pPr>
      <w:r w:rsidRPr="003336CF">
        <w:t xml:space="preserve">using workshop testing equipment </w:t>
      </w:r>
    </w:p>
    <w:p w:rsidR="00000000" w:rsidRPr="003336CF" w:rsidP="003336CF">
      <w:pPr>
        <w:pStyle w:val="ListBullet"/>
      </w:pPr>
      <w:r w:rsidRPr="003336CF">
        <w:t xml:space="preserve">selecting and performing appropriate tests and analysing test results </w:t>
      </w:r>
    </w:p>
    <w:p w:rsidR="00000000" w:rsidRPr="003336CF" w:rsidP="003336CF">
      <w:pPr>
        <w:pStyle w:val="ListBullet"/>
      </w:pPr>
      <w:r w:rsidRPr="003336CF">
        <w:t>determining faults and faulty components based on test results and visual inspection.</w:t>
      </w:r>
    </w:p>
    <w:p w:rsidR="00000000" w:rsidRPr="003336CF" w:rsidP="003336CF">
      <w:pPr>
        <w:pStyle w:val="AllowPageBreak"/>
      </w:pPr>
    </w:p>
    <w:p w:rsidR="00000000" w:rsidRPr="003336CF" w:rsidP="003336CF">
      <w:pPr>
        <w:pStyle w:val="Heading1"/>
      </w:pPr>
      <w:bookmarkStart w:id="12" w:name="O_951196"/>
      <w:bookmarkEnd w:id="12"/>
      <w:r w:rsidRPr="003336CF">
        <w:t>Knowledge Evidence</w:t>
      </w:r>
    </w:p>
    <w:p w:rsidR="00000000" w:rsidRPr="003336CF" w:rsidP="008C1F61">
      <w:pPr>
        <w:pStyle w:val="BodyText"/>
      </w:pPr>
      <w:r w:rsidRPr="003336CF">
        <w:t>Evidence required to demonstrate the required knowledge for this unit must be relevant to and satisfy the requirements of the elements and performance criteria and include knowledge of:</w:t>
      </w:r>
    </w:p>
    <w:p w:rsidR="00000000" w:rsidRPr="003336CF" w:rsidP="003336CF">
      <w:pPr>
        <w:pStyle w:val="ListBullet"/>
      </w:pPr>
      <w:r w:rsidRPr="003336CF">
        <w:t>safe work practices and procedures and use of personal protective equ</w:t>
      </w:r>
      <w:r w:rsidRPr="003336CF">
        <w:t>ipment (PPE)</w:t>
      </w:r>
    </w:p>
    <w:p w:rsidR="00000000" w:rsidRPr="003336CF" w:rsidP="003336CF">
      <w:pPr>
        <w:pStyle w:val="ListBullet"/>
      </w:pPr>
      <w:r w:rsidRPr="003336CF">
        <w:t>types of quartz watch construction and components</w:t>
      </w:r>
    </w:p>
    <w:p w:rsidR="00000000" w:rsidRPr="003336CF" w:rsidP="003336CF">
      <w:pPr>
        <w:pStyle w:val="ListBullet"/>
      </w:pPr>
      <w:r w:rsidRPr="003336CF">
        <w:t>function/operating principles of electronic quartz watches</w:t>
      </w:r>
    </w:p>
    <w:p w:rsidR="00000000" w:rsidRPr="003336CF" w:rsidP="003336CF">
      <w:pPr>
        <w:pStyle w:val="ListBullet"/>
      </w:pPr>
      <w:r w:rsidRPr="003336CF">
        <w:t xml:space="preserve">types of cells, power sources, capacitors and electronic storage units </w:t>
      </w:r>
    </w:p>
    <w:p w:rsidR="00000000" w:rsidRPr="003336CF" w:rsidP="003336CF">
      <w:pPr>
        <w:pStyle w:val="ListBullet"/>
      </w:pPr>
      <w:r w:rsidRPr="003336CF">
        <w:t xml:space="preserve">observation and inspection techniques </w:t>
      </w:r>
    </w:p>
    <w:p w:rsidR="00000000" w:rsidRPr="003336CF" w:rsidP="003336CF">
      <w:pPr>
        <w:pStyle w:val="ListBullet"/>
      </w:pPr>
      <w:r w:rsidRPr="003336CF">
        <w:t xml:space="preserve">work health and safety </w:t>
      </w:r>
      <w:r w:rsidRPr="003336CF">
        <w:t>(WHS) regulations and procedures.</w:t>
      </w:r>
    </w:p>
    <w:p w:rsidR="00000000" w:rsidRPr="003336CF" w:rsidP="003336CF">
      <w:pPr>
        <w:pStyle w:val="AllowPageBreak"/>
      </w:pPr>
    </w:p>
    <w:p w:rsidR="00000000" w:rsidRPr="003336CF" w:rsidP="003336CF">
      <w:pPr>
        <w:pStyle w:val="Heading1"/>
      </w:pPr>
      <w:bookmarkStart w:id="13" w:name="O_951195"/>
      <w:bookmarkEnd w:id="13"/>
      <w:r w:rsidRPr="003336CF">
        <w:t>Assessment Conditions</w:t>
      </w:r>
    </w:p>
    <w:p w:rsidR="00000000" w:rsidRPr="003336CF" w:rsidP="003336CF">
      <w:pPr>
        <w:pStyle w:val="ListBullet"/>
      </w:pPr>
      <w:r w:rsidRPr="003336CF">
        <w:t>Assessors must:</w:t>
      </w:r>
    </w:p>
    <w:p w:rsidR="00000000" w:rsidRPr="003336CF" w:rsidP="003336CF">
      <w:pPr>
        <w:pStyle w:val="ListBullet2"/>
      </w:pPr>
      <w:r w:rsidRPr="003336CF">
        <w:t>have vocational competency in diagnosing faults in quartz watches at least to the level being assessed with relevant industry knowledge and experience</w:t>
      </w:r>
    </w:p>
    <w:p w:rsidR="00000000" w:rsidRPr="003336CF" w:rsidP="003336CF">
      <w:pPr>
        <w:pStyle w:val="ListBullet2"/>
      </w:pPr>
      <w:r w:rsidRPr="003336CF">
        <w:t xml:space="preserve">satisfy the assessor requirements in the </w:t>
      </w:r>
      <w:r w:rsidRPr="003336CF">
        <w:rPr>
          <w:rStyle w:val="Emphasis"/>
        </w:rPr>
        <w:t xml:space="preserve">Standards for Registered Training Organisations 2015 </w:t>
      </w:r>
      <w:r w:rsidRPr="003336CF">
        <w:t>or its replacement</w:t>
      </w:r>
      <w:r w:rsidRPr="003336CF">
        <w:rPr>
          <w:rStyle w:val="Emphasis"/>
        </w:rPr>
        <w:t xml:space="preserve"> </w:t>
      </w:r>
      <w:r w:rsidRPr="003336CF">
        <w:t xml:space="preserve">and comply with the </w:t>
      </w:r>
      <w:r w:rsidRPr="003336CF">
        <w:rPr>
          <w:rStyle w:val="Emphasis"/>
        </w:rPr>
        <w:t xml:space="preserve">National Vocational Education and Training Regulator Act 2011, </w:t>
      </w:r>
      <w:r w:rsidRPr="003336CF">
        <w:t>its replacement</w:t>
      </w:r>
      <w:r w:rsidRPr="003336CF">
        <w:rPr>
          <w:rStyle w:val="Emphasis"/>
        </w:rPr>
        <w:t xml:space="preserve"> </w:t>
      </w:r>
      <w:r w:rsidRPr="003336CF">
        <w:t>or equivalent legislation covering VET regul</w:t>
      </w:r>
      <w:r w:rsidRPr="003336CF">
        <w:t>ation in a non-referring state/territory as the case requires</w:t>
      </w:r>
    </w:p>
    <w:p w:rsidR="00000000" w:rsidRPr="003336CF" w:rsidP="003336CF">
      <w:pPr>
        <w:pStyle w:val="ListBullet"/>
      </w:pPr>
      <w:r w:rsidRPr="003336CF">
        <w:t>Where possible assessment must occur in operational workplace situations. Where this is not possible or where personal safety or environmental damage are limiting factors, assessment must occur</w:t>
      </w:r>
      <w:r w:rsidRPr="003336CF">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3336CF">
        <w:t>job role environment skills</w:t>
      </w:r>
    </w:p>
    <w:p w:rsidR="00000000" w:rsidRPr="003336CF" w:rsidP="003336CF">
      <w:pPr>
        <w:pStyle w:val="ListBullet"/>
      </w:pPr>
      <w:r w:rsidRPr="003336CF">
        <w:t>Conditions for assessment must include access to all tools, equipment, materials and documentation required, including relevant workplace procedures, product and manufacturing specifications</w:t>
      </w:r>
    </w:p>
    <w:p w:rsidR="00000000" w:rsidRPr="003336CF" w:rsidP="003336CF">
      <w:pPr>
        <w:pStyle w:val="ListBullet"/>
      </w:pPr>
      <w:r w:rsidRPr="003336CF">
        <w:t>Assessment processes and techniques m</w:t>
      </w:r>
      <w:r w:rsidRPr="003336CF">
        <w:t xml:space="preserve">ust be appropriate to the language, literacy and numeracy </w:t>
      </w:r>
      <w:r w:rsidRPr="003336CF">
        <w:t>requirements of the work being performed and the needs of the candidate.</w:t>
      </w:r>
    </w:p>
    <w:p w:rsidR="00000000" w:rsidRPr="003336CF" w:rsidP="003336CF">
      <w:pPr>
        <w:pStyle w:val="AllowPageBreak"/>
      </w:pPr>
    </w:p>
    <w:p w:rsidR="00000000" w:rsidRPr="003336CF" w:rsidP="003336CF">
      <w:pPr>
        <w:pStyle w:val="Heading1"/>
      </w:pPr>
      <w:bookmarkStart w:id="14" w:name="O_951193"/>
      <w:bookmarkEnd w:id="14"/>
      <w:r w:rsidRPr="003336CF">
        <w:t>Links</w:t>
      </w:r>
    </w:p>
    <w:p w:rsidR="00000000" w:rsidRPr="003336CF" w:rsidP="008C1F61">
      <w:pPr>
        <w:pStyle w:val="BodyText"/>
      </w:pPr>
      <w:r w:rsidRPr="003336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61AEC">
        <w:rPr>
          <w:rStyle w:val="Hyperlink"/>
        </w:rPr>
        <w:t>https://vetnet.gov.au/Pages/TrainingDocs.aspx?q=b7050d37-5fd0-4740-8f7d-3b7a49c10bb2</w:t>
      </w:r>
      <w:r>
        <w:fldChar w:fldCharType="end"/>
      </w:r>
    </w:p>
    <w:p w:rsidR="00000000" w:rsidRPr="003336CF" w:rsidP="003336CF"/>
    <w:sectPr w:rsidSect="003336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CF" w:rsidRPr="008C1F61" w:rsidP="008C1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61" w:rsidP="00333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1F61" w:rsidP="003336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1F61" w:rsidP="003336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CF" w:rsidP="003336CF">
    <w:pPr>
      <w:pStyle w:val="Footer"/>
      <w:framePr w:wrap="around"/>
    </w:pPr>
    <w:r>
      <w:fldChar w:fldCharType="begin"/>
    </w:r>
    <w:r>
      <w:instrText xml:space="preserve"> DOCPROPERTY  Subject  \* MERGEFORMAT </w:instrText>
    </w:r>
    <w:r>
      <w:fldChar w:fldCharType="separate"/>
    </w:r>
    <w:r w:rsidR="008C1F61">
      <w:t>Approved</w:t>
    </w:r>
    <w:r w:rsidR="008C1F61">
      <w:fldChar w:fldCharType="end"/>
    </w:r>
    <w:r>
      <w:tab/>
      <w:t xml:space="preserve">Page </w:t>
    </w:r>
    <w:r>
      <w:fldChar w:fldCharType="begin"/>
    </w:r>
    <w:r>
      <w:instrText xml:space="preserve"> PAGE  \* Arabic  \* MERGEFORMAT </w:instrText>
    </w:r>
    <w:r>
      <w:fldChar w:fldCharType="separate"/>
    </w:r>
    <w:r w:rsidR="008C1F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1F61">
      <w:rPr>
        <w:noProof/>
      </w:rPr>
      <w:t>5</w:t>
    </w:r>
    <w:r>
      <w:rPr>
        <w:noProof/>
      </w:rPr>
      <w:fldChar w:fldCharType="end"/>
    </w:r>
  </w:p>
  <w:p w:rsidR="003336CF" w:rsidP="003336CF">
    <w:pPr>
      <w:pStyle w:val="Footer"/>
      <w:framePr w:wrap="around"/>
    </w:pPr>
    <w:r>
      <w:t xml:space="preserve">© Commonwealth of Australia, </w:t>
    </w:r>
    <w:r>
      <w:fldChar w:fldCharType="begin"/>
    </w:r>
    <w:r>
      <w:instrText xml:space="preserve"> DATE  \@ "yyyy"  \* MERGEFORMAT </w:instrText>
    </w:r>
    <w:r>
      <w:fldChar w:fldCharType="separate"/>
    </w:r>
    <w:r w:rsidR="008C1F61">
      <w:rPr>
        <w:noProof/>
      </w:rPr>
      <w:t>2025</w:t>
    </w:r>
    <w:r>
      <w:fldChar w:fldCharType="end"/>
    </w:r>
    <w:r>
      <w:tab/>
    </w:r>
    <w:r>
      <w:fldChar w:fldCharType="begin"/>
    </w:r>
    <w:r>
      <w:instrText xml:space="preserve"> DOCPROPERTY  Author  \* MERGEFORMAT </w:instrText>
    </w:r>
    <w:r>
      <w:fldChar w:fldCharType="separate"/>
    </w:r>
    <w:r w:rsidR="008C1F61">
      <w:t>Manufacturing Industry Skills Alliance</w:t>
    </w:r>
    <w:r w:rsidR="008C1F61">
      <w:fldChar w:fldCharType="end"/>
    </w:r>
  </w:p>
  <w:p w:rsidR="003336CF" w:rsidP="00333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6CF" w:rsidRPr="008C1F61" w:rsidP="008C1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61" w:rsidRPr="002D2AF8" w:rsidP="003336CF">
    <w:pPr>
      <w:pStyle w:val="Header"/>
      <w:framePr w:wrap="around"/>
    </w:pPr>
    <w:r>
      <w:fldChar w:fldCharType="begin"/>
    </w:r>
    <w:r>
      <w:instrText xml:space="preserve"> TITLE   \* MERGEFORMAT </w:instrText>
    </w:r>
    <w:r>
      <w:fldChar w:fldCharType="separate"/>
    </w:r>
    <w:r>
      <w:t>MEM21005 Diagnose faults in quartz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1F61" w:rsidP="003336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6CF" w:rsidRPr="002D2AF8" w:rsidP="003336CF">
    <w:pPr>
      <w:pStyle w:val="Header"/>
      <w:framePr w:wrap="around"/>
    </w:pPr>
    <w:r>
      <w:fldChar w:fldCharType="begin"/>
    </w:r>
    <w:r>
      <w:instrText xml:space="preserve"> TITLE   \* MERGEFORMAT </w:instrText>
    </w:r>
    <w:r>
      <w:fldChar w:fldCharType="separate"/>
    </w:r>
    <w:r w:rsidR="008C1F61">
      <w:t>MEM21005 Diagnose faults in quartz watches</w:t>
    </w:r>
    <w:r w:rsidR="008C1F61">
      <w:fldChar w:fldCharType="end"/>
    </w:r>
    <w:r>
      <w:tab/>
      <w:t xml:space="preserve">Date this document was generated: </w:t>
    </w:r>
    <w:r>
      <w:fldChar w:fldCharType="begin"/>
    </w:r>
    <w:r>
      <w:instrText xml:space="preserve"> CREATEDATE  \@ "d MMMM yyyy"  \* MERGEFORMAT </w:instrText>
    </w:r>
    <w:r>
      <w:fldChar w:fldCharType="separate"/>
    </w:r>
    <w:r w:rsidR="008C1F61">
      <w:rPr>
        <w:noProof/>
      </w:rPr>
      <w:t>2 March 2025</w:t>
    </w:r>
    <w:r>
      <w:fldChar w:fldCharType="end"/>
    </w:r>
  </w:p>
  <w:p w:rsidR="003336CF" w:rsidP="00333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A0F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44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FA2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6CF"/>
    <w:pPr>
      <w:spacing w:before="360" w:after="60"/>
      <w:outlineLvl w:val="0"/>
    </w:pPr>
    <w:rPr>
      <w:sz w:val="32"/>
    </w:rPr>
  </w:style>
  <w:style w:type="paragraph" w:styleId="Heading2">
    <w:name w:val="heading 2"/>
    <w:basedOn w:val="HeadingBase"/>
    <w:next w:val="BodyText"/>
    <w:link w:val="Heading2Char"/>
    <w:qFormat/>
    <w:rsid w:val="003336CF"/>
    <w:pPr>
      <w:keepLines/>
      <w:spacing w:before="240" w:after="120"/>
      <w:outlineLvl w:val="1"/>
    </w:pPr>
    <w:rPr>
      <w:sz w:val="28"/>
      <w:szCs w:val="40"/>
    </w:rPr>
  </w:style>
  <w:style w:type="paragraph" w:styleId="Heading3">
    <w:name w:val="heading 3"/>
    <w:basedOn w:val="HeadingBase"/>
    <w:next w:val="BodyText"/>
    <w:link w:val="Heading3Char"/>
    <w:qFormat/>
    <w:rsid w:val="003336CF"/>
    <w:pPr>
      <w:spacing w:before="180" w:after="120"/>
      <w:outlineLvl w:val="2"/>
    </w:pPr>
    <w:rPr>
      <w:spacing w:val="-10"/>
      <w:kern w:val="32"/>
    </w:rPr>
  </w:style>
  <w:style w:type="paragraph" w:styleId="Heading4">
    <w:name w:val="heading 4"/>
    <w:basedOn w:val="HeadingBase"/>
    <w:next w:val="BodyText"/>
    <w:link w:val="Heading4Char"/>
    <w:qFormat/>
    <w:rsid w:val="003336CF"/>
    <w:pPr>
      <w:spacing w:before="160" w:after="120"/>
      <w:outlineLvl w:val="3"/>
    </w:pPr>
    <w:rPr>
      <w:sz w:val="22"/>
    </w:rPr>
  </w:style>
  <w:style w:type="paragraph" w:styleId="Heading5">
    <w:name w:val="heading 5"/>
    <w:basedOn w:val="HeadingBase"/>
    <w:next w:val="Normal"/>
    <w:link w:val="Heading5Char"/>
    <w:qFormat/>
    <w:rsid w:val="003336CF"/>
    <w:pPr>
      <w:spacing w:before="80"/>
      <w:outlineLvl w:val="4"/>
    </w:pPr>
    <w:rPr>
      <w:color w:val="918585"/>
      <w:sz w:val="20"/>
    </w:rPr>
  </w:style>
  <w:style w:type="paragraph" w:styleId="Heading6">
    <w:name w:val="heading 6"/>
    <w:basedOn w:val="HeadingBase"/>
    <w:next w:val="Normal"/>
    <w:link w:val="Heading6Char"/>
    <w:qFormat/>
    <w:rsid w:val="003336CF"/>
    <w:pPr>
      <w:spacing w:before="60"/>
      <w:outlineLvl w:val="5"/>
    </w:pPr>
    <w:rPr>
      <w:color w:val="918585"/>
      <w:sz w:val="20"/>
    </w:rPr>
  </w:style>
  <w:style w:type="paragraph" w:styleId="Heading7">
    <w:name w:val="heading 7"/>
    <w:basedOn w:val="Normal"/>
    <w:next w:val="Normal"/>
    <w:link w:val="Heading7Char"/>
    <w:qFormat/>
    <w:rsid w:val="003336CF"/>
    <w:pPr>
      <w:ind w:left="720"/>
      <w:outlineLvl w:val="6"/>
    </w:pPr>
    <w:rPr>
      <w:i/>
    </w:rPr>
  </w:style>
  <w:style w:type="paragraph" w:styleId="Heading8">
    <w:name w:val="heading 8"/>
    <w:basedOn w:val="Normal"/>
    <w:next w:val="Normal"/>
    <w:link w:val="Heading8Char"/>
    <w:qFormat/>
    <w:rsid w:val="003336CF"/>
    <w:pPr>
      <w:ind w:left="720"/>
      <w:outlineLvl w:val="7"/>
    </w:pPr>
    <w:rPr>
      <w:i/>
    </w:rPr>
  </w:style>
  <w:style w:type="paragraph" w:styleId="Heading9">
    <w:name w:val="heading 9"/>
    <w:basedOn w:val="Normal"/>
    <w:next w:val="Normal"/>
    <w:link w:val="Heading9Char"/>
    <w:qFormat/>
    <w:rsid w:val="003336CF"/>
    <w:pPr>
      <w:ind w:left="720"/>
      <w:outlineLvl w:val="8"/>
    </w:pPr>
    <w:rPr>
      <w:i/>
    </w:rPr>
  </w:style>
  <w:style w:type="character" w:default="1" w:styleId="DefaultParagraphFont">
    <w:name w:val="Default Paragraph Font"/>
    <w:uiPriority w:val="1"/>
    <w:unhideWhenUsed/>
    <w:rsid w:val="00333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6CF"/>
  </w:style>
  <w:style w:type="character" w:customStyle="1" w:styleId="Heading1Char">
    <w:name w:val="Heading 1 Char"/>
    <w:basedOn w:val="DefaultParagraphFont"/>
    <w:link w:val="Heading1"/>
    <w:rsid w:val="003336CF"/>
    <w:rPr>
      <w:rFonts w:ascii="Times New Roman" w:eastAsia="Times New Roman" w:hAnsi="Times New Roman" w:cs="Times New Roman"/>
      <w:b/>
      <w:sz w:val="32"/>
      <w:szCs w:val="20"/>
      <w:lang w:eastAsia="en-US"/>
    </w:rPr>
  </w:style>
  <w:style w:type="paragraph" w:styleId="BodyText">
    <w:name w:val="Body Text"/>
    <w:basedOn w:val="Normal"/>
    <w:link w:val="BodyTextChar"/>
    <w:rsid w:val="00333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6CF"/>
    <w:rPr>
      <w:rFonts w:ascii="Times New Roman" w:eastAsia="Times New Roman" w:hAnsi="Times New Roman" w:cs="Times New Roman"/>
      <w:sz w:val="24"/>
      <w:lang w:eastAsia="en-US"/>
    </w:rPr>
  </w:style>
  <w:style w:type="paragraph" w:styleId="ListBullet">
    <w:name w:val="List Bullet"/>
    <w:basedOn w:val="List"/>
    <w:rsid w:val="003336CF"/>
    <w:pPr>
      <w:numPr>
        <w:numId w:val="12"/>
      </w:numPr>
      <w:tabs>
        <w:tab w:val="clear" w:pos="340"/>
      </w:tabs>
      <w:spacing w:before="40" w:after="40"/>
    </w:pPr>
  </w:style>
  <w:style w:type="character" w:customStyle="1" w:styleId="SpecialBold">
    <w:name w:val="Special Bold"/>
    <w:basedOn w:val="DefaultParagraphFont"/>
    <w:rsid w:val="003336CF"/>
    <w:rPr>
      <w:b/>
      <w:spacing w:val="0"/>
    </w:rPr>
  </w:style>
  <w:style w:type="paragraph" w:styleId="ListBullet2">
    <w:name w:val="List Bullet 2"/>
    <w:basedOn w:val="List2"/>
    <w:rsid w:val="003336CF"/>
    <w:pPr>
      <w:numPr>
        <w:numId w:val="13"/>
      </w:numPr>
      <w:tabs>
        <w:tab w:val="clear" w:pos="680"/>
      </w:tabs>
    </w:pPr>
  </w:style>
  <w:style w:type="character" w:styleId="Emphasis">
    <w:name w:val="Emphasis"/>
    <w:basedOn w:val="DefaultParagraphFont"/>
    <w:qFormat/>
    <w:rsid w:val="003336CF"/>
    <w:rPr>
      <w:i/>
    </w:rPr>
  </w:style>
  <w:style w:type="paragraph" w:customStyle="1" w:styleId="SuperHeading">
    <w:name w:val="SuperHeading"/>
    <w:basedOn w:val="Normal"/>
    <w:rsid w:val="003336CF"/>
    <w:pPr>
      <w:spacing w:before="240" w:after="120"/>
      <w:outlineLvl w:val="0"/>
    </w:pPr>
    <w:rPr>
      <w:rFonts w:ascii="Times New Roman" w:hAnsi="Times New Roman"/>
      <w:b/>
      <w:sz w:val="32"/>
    </w:rPr>
  </w:style>
  <w:style w:type="paragraph" w:customStyle="1" w:styleId="AllowPageBreak">
    <w:name w:val="AllowPageBreak"/>
    <w:rsid w:val="00333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6CF"/>
    <w:rPr>
      <w:rFonts w:ascii="Courier New" w:eastAsia="Times New Roman" w:hAnsi="Courier New" w:cs="Times New Roman"/>
      <w:i/>
      <w:szCs w:val="20"/>
      <w:lang w:eastAsia="en-US"/>
    </w:rPr>
  </w:style>
  <w:style w:type="paragraph" w:customStyle="1" w:styleId="HeadingBase">
    <w:name w:val="Heading Base"/>
    <w:rsid w:val="00333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6CF"/>
    <w:pPr>
      <w:tabs>
        <w:tab w:val="right" w:leader="dot" w:pos="9072"/>
      </w:tabs>
      <w:ind w:left="567"/>
    </w:pPr>
    <w:rPr>
      <w:szCs w:val="22"/>
    </w:rPr>
  </w:style>
  <w:style w:type="paragraph" w:customStyle="1" w:styleId="TOCBase">
    <w:name w:val="TOC Base"/>
    <w:rsid w:val="00333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6CF"/>
    <w:pPr>
      <w:tabs>
        <w:tab w:val="right" w:leader="dot" w:pos="9072"/>
      </w:tabs>
      <w:spacing w:before="40" w:after="40"/>
      <w:ind w:left="284"/>
    </w:pPr>
    <w:rPr>
      <w:rFonts w:ascii="Times New Roman" w:hAnsi="Times New Roman"/>
    </w:rPr>
  </w:style>
  <w:style w:type="paragraph" w:styleId="TOC1">
    <w:name w:val="toc 1"/>
    <w:basedOn w:val="TOCBase"/>
    <w:next w:val="Normal"/>
    <w:rsid w:val="00333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6CF"/>
    <w:rPr>
      <w:rFonts w:ascii="Times New Roman" w:eastAsia="Times New Roman" w:hAnsi="Times New Roman" w:cs="Times New Roman"/>
      <w:sz w:val="16"/>
      <w:lang w:eastAsia="en-US"/>
    </w:rPr>
  </w:style>
  <w:style w:type="paragraph" w:styleId="Title">
    <w:name w:val="Title"/>
    <w:basedOn w:val="HeadingBase"/>
    <w:link w:val="TitleChar"/>
    <w:qFormat/>
    <w:rsid w:val="003336CF"/>
    <w:pPr>
      <w:spacing w:before="5040"/>
      <w:jc w:val="center"/>
    </w:pPr>
    <w:rPr>
      <w:sz w:val="48"/>
      <w:szCs w:val="72"/>
      <w:lang w:val="en-US"/>
    </w:rPr>
  </w:style>
  <w:style w:type="character" w:customStyle="1" w:styleId="TitleChar">
    <w:name w:val="Title Char"/>
    <w:basedOn w:val="DefaultParagraphFont"/>
    <w:link w:val="Title"/>
    <w:rsid w:val="00333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6CF"/>
    <w:pPr>
      <w:tabs>
        <w:tab w:val="left" w:pos="3600"/>
        <w:tab w:val="left" w:pos="3958"/>
      </w:tabs>
    </w:pPr>
  </w:style>
  <w:style w:type="paragraph" w:styleId="List">
    <w:name w:val="List"/>
    <w:basedOn w:val="BodyText"/>
    <w:next w:val="BodyText"/>
    <w:rsid w:val="003336CF"/>
    <w:pPr>
      <w:tabs>
        <w:tab w:val="left" w:pos="340"/>
      </w:tabs>
      <w:spacing w:before="60" w:after="60"/>
      <w:ind w:left="340" w:hanging="340"/>
    </w:pPr>
  </w:style>
  <w:style w:type="paragraph" w:customStyle="1" w:styleId="Note">
    <w:name w:val="Note"/>
    <w:basedOn w:val="BodyText"/>
    <w:rsid w:val="00333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6CF"/>
    <w:pPr>
      <w:framePr w:wrap="auto" w:hAnchor="text" w:y="6049"/>
    </w:pPr>
    <w:rPr>
      <w:color w:val="000000"/>
      <w:sz w:val="40"/>
    </w:rPr>
  </w:style>
  <w:style w:type="paragraph" w:customStyle="1" w:styleId="TOCTitle">
    <w:name w:val="TOCTitle"/>
    <w:basedOn w:val="Heading1"/>
    <w:rsid w:val="003336CF"/>
    <w:pPr>
      <w:spacing w:after="240"/>
      <w:jc w:val="center"/>
      <w:outlineLvl w:val="9"/>
    </w:pPr>
    <w:rPr>
      <w:caps/>
    </w:rPr>
  </w:style>
  <w:style w:type="paragraph" w:customStyle="1" w:styleId="Version">
    <w:name w:val="Version"/>
    <w:rsid w:val="00333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6CF"/>
    <w:pPr>
      <w:keepNext w:val="0"/>
      <w:tabs>
        <w:tab w:val="right" w:pos="4176"/>
      </w:tabs>
      <w:ind w:left="198" w:hanging="198"/>
    </w:pPr>
    <w:rPr>
      <w:rFonts w:ascii="Garamond" w:hAnsi="Garamond"/>
    </w:rPr>
  </w:style>
  <w:style w:type="paragraph" w:styleId="IndexHeading">
    <w:name w:val="index heading"/>
    <w:basedOn w:val="Normal"/>
    <w:next w:val="Index1"/>
    <w:semiHidden/>
    <w:rsid w:val="003336CF"/>
    <w:pPr>
      <w:spacing w:before="120" w:after="120"/>
    </w:pPr>
    <w:rPr>
      <w:rFonts w:ascii="Arial" w:hAnsi="Arial"/>
      <w:b/>
      <w:color w:val="918585"/>
      <w:sz w:val="24"/>
    </w:rPr>
  </w:style>
  <w:style w:type="paragraph" w:styleId="Header">
    <w:name w:val="header"/>
    <w:basedOn w:val="Normal"/>
    <w:link w:val="HeaderChar"/>
    <w:rsid w:val="00333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6CF"/>
    <w:rPr>
      <w:rFonts w:ascii="Times New Roman" w:eastAsia="Times New Roman" w:hAnsi="Times New Roman" w:cs="Times New Roman"/>
      <w:sz w:val="16"/>
      <w:szCs w:val="20"/>
      <w:lang w:val="en-GB" w:eastAsia="en-US"/>
    </w:rPr>
  </w:style>
  <w:style w:type="paragraph" w:customStyle="1" w:styleId="Chapter">
    <w:name w:val="Chapter"/>
    <w:basedOn w:val="Normal"/>
    <w:rsid w:val="003336CF"/>
    <w:pPr>
      <w:spacing w:before="240"/>
    </w:pPr>
    <w:rPr>
      <w:rFonts w:ascii="Times New Roman" w:hAnsi="Times New Roman"/>
      <w:smallCaps/>
      <w:spacing w:val="80"/>
      <w:sz w:val="28"/>
    </w:rPr>
  </w:style>
  <w:style w:type="paragraph" w:customStyle="1" w:styleId="InChapter">
    <w:name w:val="InChapter"/>
    <w:basedOn w:val="Heading3"/>
    <w:rsid w:val="003336CF"/>
    <w:pPr>
      <w:spacing w:after="240"/>
      <w:outlineLvl w:val="9"/>
    </w:pPr>
    <w:rPr>
      <w:noProof/>
    </w:rPr>
  </w:style>
  <w:style w:type="paragraph" w:styleId="Index2">
    <w:name w:val="index 2"/>
    <w:basedOn w:val="Normal"/>
    <w:next w:val="Normal"/>
    <w:semiHidden/>
    <w:rsid w:val="003336CF"/>
    <w:pPr>
      <w:tabs>
        <w:tab w:val="right" w:pos="4176"/>
      </w:tabs>
      <w:ind w:left="568" w:hanging="284"/>
    </w:pPr>
    <w:rPr>
      <w:rFonts w:ascii="Garamond" w:hAnsi="Garamond"/>
    </w:rPr>
  </w:style>
  <w:style w:type="paragraph" w:customStyle="1" w:styleId="Byline">
    <w:name w:val="Byline"/>
    <w:rsid w:val="00333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6CF"/>
    <w:pPr>
      <w:tabs>
        <w:tab w:val="clear" w:pos="3600"/>
        <w:tab w:val="clear" w:pos="3958"/>
      </w:tabs>
      <w:jc w:val="right"/>
    </w:pPr>
  </w:style>
  <w:style w:type="paragraph" w:styleId="Caption">
    <w:name w:val="caption"/>
    <w:basedOn w:val="BodyText"/>
    <w:next w:val="Normal"/>
    <w:qFormat/>
    <w:rsid w:val="003336CF"/>
    <w:pPr>
      <w:framePr w:w="2268" w:hSpace="181" w:vSpace="181" w:wrap="around" w:vAnchor="text" w:hAnchor="page" w:x="1135" w:y="285" w:anchorLock="1"/>
    </w:pPr>
    <w:rPr>
      <w:i/>
    </w:rPr>
  </w:style>
  <w:style w:type="paragraph" w:customStyle="1" w:styleId="MiniTOCTitle">
    <w:name w:val="MiniTOCTitle"/>
    <w:basedOn w:val="Heading4"/>
    <w:rsid w:val="003336CF"/>
    <w:pPr>
      <w:spacing w:before="240"/>
      <w:outlineLvl w:val="9"/>
    </w:pPr>
    <w:rPr>
      <w:noProof/>
      <w:sz w:val="24"/>
    </w:rPr>
  </w:style>
  <w:style w:type="paragraph" w:customStyle="1" w:styleId="MiniTOCItem">
    <w:name w:val="MiniTOCItem"/>
    <w:basedOn w:val="ListBullet"/>
    <w:rsid w:val="003336CF"/>
    <w:pPr>
      <w:numPr>
        <w:numId w:val="0"/>
      </w:numPr>
      <w:tabs>
        <w:tab w:val="right" w:leader="dot" w:pos="6521"/>
      </w:tabs>
      <w:spacing w:before="0" w:after="0"/>
    </w:pPr>
  </w:style>
  <w:style w:type="paragraph" w:customStyle="1" w:styleId="TOFTitle">
    <w:name w:val="TOFTitle"/>
    <w:basedOn w:val="TOCTitle"/>
    <w:rsid w:val="003336CF"/>
  </w:style>
  <w:style w:type="paragraph" w:styleId="TableofFigures">
    <w:name w:val="table of figures"/>
    <w:basedOn w:val="Normal"/>
    <w:next w:val="Normal"/>
    <w:semiHidden/>
    <w:rsid w:val="003336CF"/>
    <w:pPr>
      <w:tabs>
        <w:tab w:val="right" w:leader="dot" w:pos="9072"/>
      </w:tabs>
      <w:ind w:left="970" w:hanging="403"/>
    </w:pPr>
    <w:rPr>
      <w:rFonts w:ascii="Times New Roman" w:hAnsi="Times New Roman"/>
      <w:b/>
    </w:rPr>
  </w:style>
  <w:style w:type="paragraph" w:styleId="ListNumber">
    <w:name w:val="List Number"/>
    <w:basedOn w:val="List"/>
    <w:rsid w:val="003336CF"/>
    <w:pPr>
      <w:numPr>
        <w:numId w:val="15"/>
      </w:numPr>
      <w:tabs>
        <w:tab w:val="clear" w:pos="340"/>
      </w:tabs>
    </w:pPr>
  </w:style>
  <w:style w:type="character" w:customStyle="1" w:styleId="WingdingSymbols">
    <w:name w:val="Wingding Symbols"/>
    <w:rsid w:val="003336CF"/>
    <w:rPr>
      <w:rFonts w:ascii="Wingdings" w:hAnsi="Wingdings"/>
    </w:rPr>
  </w:style>
  <w:style w:type="paragraph" w:customStyle="1" w:styleId="TableHeading">
    <w:name w:val="Table Heading"/>
    <w:basedOn w:val="HeadingBase"/>
    <w:rsid w:val="003336CF"/>
    <w:pPr>
      <w:keepLines/>
      <w:pBdr>
        <w:bottom w:val="single" w:sz="6" w:space="1" w:color="918585"/>
      </w:pBdr>
      <w:spacing w:before="240"/>
    </w:pPr>
  </w:style>
  <w:style w:type="character" w:customStyle="1" w:styleId="HotSpot">
    <w:name w:val="HotSpot"/>
    <w:rsid w:val="003336CF"/>
    <w:rPr>
      <w:color w:val="0033CC"/>
      <w:u w:val="none"/>
    </w:rPr>
  </w:style>
  <w:style w:type="paragraph" w:customStyle="1" w:styleId="BodyTextRight">
    <w:name w:val="Body Text Right"/>
    <w:basedOn w:val="BodyText"/>
    <w:rsid w:val="003336CF"/>
    <w:pPr>
      <w:spacing w:before="0" w:after="0"/>
      <w:jc w:val="right"/>
    </w:pPr>
  </w:style>
  <w:style w:type="paragraph" w:styleId="Index3">
    <w:name w:val="index 3"/>
    <w:basedOn w:val="ListNumber2"/>
    <w:next w:val="Normal"/>
    <w:semiHidden/>
    <w:rsid w:val="003336CF"/>
    <w:pPr>
      <w:numPr>
        <w:numId w:val="0"/>
      </w:numPr>
      <w:tabs>
        <w:tab w:val="right" w:leader="dot" w:pos="4176"/>
      </w:tabs>
    </w:pPr>
  </w:style>
  <w:style w:type="paragraph" w:styleId="ListNumber2">
    <w:name w:val="List Number 2"/>
    <w:basedOn w:val="List2"/>
    <w:rsid w:val="003336CF"/>
    <w:pPr>
      <w:numPr>
        <w:numId w:val="10"/>
      </w:numPr>
      <w:tabs>
        <w:tab w:val="clear" w:pos="1060"/>
      </w:tabs>
    </w:pPr>
  </w:style>
  <w:style w:type="paragraph" w:customStyle="1" w:styleId="MarginNote">
    <w:name w:val="Margin Note"/>
    <w:basedOn w:val="BodyText"/>
    <w:rsid w:val="00333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6CF"/>
    <w:rPr>
      <w:sz w:val="32"/>
    </w:rPr>
  </w:style>
  <w:style w:type="paragraph" w:customStyle="1" w:styleId="HeadingProcedure">
    <w:name w:val="Heading Procedure"/>
    <w:basedOn w:val="HeadingBase"/>
    <w:next w:val="Normal"/>
    <w:rsid w:val="003336CF"/>
    <w:pPr>
      <w:tabs>
        <w:tab w:val="left" w:pos="0"/>
      </w:tabs>
      <w:spacing w:before="120" w:after="60"/>
    </w:pPr>
    <w:rPr>
      <w:i/>
      <w:color w:val="918585"/>
      <w:sz w:val="22"/>
    </w:rPr>
  </w:style>
  <w:style w:type="paragraph" w:customStyle="1" w:styleId="TableBodyText">
    <w:name w:val="Table Body Text"/>
    <w:basedOn w:val="BodyText"/>
    <w:rsid w:val="003336CF"/>
    <w:pPr>
      <w:spacing w:before="60" w:after="60"/>
    </w:pPr>
  </w:style>
  <w:style w:type="paragraph" w:styleId="ListContinue">
    <w:name w:val="List Continue"/>
    <w:basedOn w:val="List"/>
    <w:rsid w:val="003336CF"/>
    <w:pPr>
      <w:ind w:firstLine="0"/>
    </w:pPr>
  </w:style>
  <w:style w:type="paragraph" w:customStyle="1" w:styleId="ListNote">
    <w:name w:val="List Note"/>
    <w:basedOn w:val="List"/>
    <w:rsid w:val="003336CF"/>
    <w:pPr>
      <w:pBdr>
        <w:top w:val="single" w:sz="6" w:space="2" w:color="918585"/>
        <w:bottom w:val="single" w:sz="6" w:space="2" w:color="918585"/>
      </w:pBdr>
      <w:tabs>
        <w:tab w:val="left" w:pos="1021"/>
      </w:tabs>
      <w:ind w:firstLine="0"/>
    </w:pPr>
  </w:style>
  <w:style w:type="paragraph" w:customStyle="1" w:styleId="Warning">
    <w:name w:val="Warning"/>
    <w:basedOn w:val="BodyText"/>
    <w:rsid w:val="003336CF"/>
    <w:pPr>
      <w:shd w:val="clear" w:color="auto" w:fill="D9D9D9"/>
      <w:tabs>
        <w:tab w:val="left" w:pos="992"/>
      </w:tabs>
      <w:ind w:left="119" w:right="119"/>
    </w:pPr>
    <w:rPr>
      <w:sz w:val="20"/>
    </w:rPr>
  </w:style>
  <w:style w:type="paragraph" w:customStyle="1" w:styleId="MarginIcons">
    <w:name w:val="Margin Icons"/>
    <w:basedOn w:val="BodyText"/>
    <w:rsid w:val="00333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6CF"/>
    <w:rPr>
      <w:rFonts w:ascii="Courier New" w:hAnsi="Courier New"/>
    </w:rPr>
  </w:style>
  <w:style w:type="paragraph" w:customStyle="1" w:styleId="NoteBullet">
    <w:name w:val="Note Bullet"/>
    <w:basedOn w:val="Note"/>
    <w:rsid w:val="003336CF"/>
    <w:pPr>
      <w:tabs>
        <w:tab w:val="clear" w:pos="680"/>
      </w:tabs>
      <w:spacing w:before="60" w:after="60"/>
    </w:pPr>
  </w:style>
  <w:style w:type="paragraph" w:customStyle="1" w:styleId="SubHeading2">
    <w:name w:val="SubHeading2"/>
    <w:basedOn w:val="HeadingBase"/>
    <w:rsid w:val="003336CF"/>
    <w:pPr>
      <w:spacing w:before="240" w:after="60"/>
    </w:pPr>
    <w:rPr>
      <w:sz w:val="20"/>
    </w:rPr>
  </w:style>
  <w:style w:type="paragraph" w:customStyle="1" w:styleId="SubHeading1">
    <w:name w:val="SubHeading1"/>
    <w:basedOn w:val="HeadingBase"/>
    <w:rsid w:val="003336CF"/>
    <w:pPr>
      <w:spacing w:before="240" w:after="60"/>
    </w:pPr>
    <w:rPr>
      <w:color w:val="918585"/>
      <w:sz w:val="22"/>
    </w:rPr>
  </w:style>
  <w:style w:type="paragraph" w:customStyle="1" w:styleId="SideHeading">
    <w:name w:val="Side Heading"/>
    <w:basedOn w:val="HeadingBase"/>
    <w:rsid w:val="00333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6CF"/>
    <w:pPr>
      <w:tabs>
        <w:tab w:val="num" w:pos="360"/>
      </w:tabs>
    </w:pPr>
  </w:style>
  <w:style w:type="paragraph" w:styleId="PlainText">
    <w:name w:val="Plain Text"/>
    <w:basedOn w:val="Normal"/>
    <w:link w:val="PlainTextChar"/>
    <w:rsid w:val="003336CF"/>
    <w:rPr>
      <w:sz w:val="20"/>
    </w:rPr>
  </w:style>
  <w:style w:type="character" w:customStyle="1" w:styleId="PlainTextChar">
    <w:name w:val="Plain Text Char"/>
    <w:basedOn w:val="DefaultParagraphFont"/>
    <w:link w:val="PlainText"/>
    <w:rsid w:val="003336CF"/>
    <w:rPr>
      <w:rFonts w:ascii="Courier New" w:eastAsia="Times New Roman" w:hAnsi="Courier New" w:cs="Times New Roman"/>
      <w:sz w:val="20"/>
      <w:szCs w:val="20"/>
      <w:lang w:eastAsia="en-US"/>
    </w:rPr>
  </w:style>
  <w:style w:type="character" w:customStyle="1" w:styleId="MenuOption">
    <w:name w:val="Menu Option"/>
    <w:basedOn w:val="DefaultParagraphFont"/>
    <w:rsid w:val="003336CF"/>
    <w:rPr>
      <w:b/>
      <w:smallCaps/>
    </w:rPr>
  </w:style>
  <w:style w:type="paragraph" w:customStyle="1" w:styleId="TableListNumber">
    <w:name w:val="Table List Number"/>
    <w:basedOn w:val="ListNumber"/>
    <w:rsid w:val="003336CF"/>
    <w:pPr>
      <w:numPr>
        <w:numId w:val="0"/>
      </w:numPr>
    </w:pPr>
  </w:style>
  <w:style w:type="paragraph" w:styleId="TOC4">
    <w:name w:val="toc 4"/>
    <w:basedOn w:val="TOCBase"/>
    <w:next w:val="Normal"/>
    <w:semiHidden/>
    <w:rsid w:val="003336CF"/>
    <w:pPr>
      <w:tabs>
        <w:tab w:val="right" w:leader="dot" w:pos="9071"/>
      </w:tabs>
      <w:ind w:left="1701"/>
    </w:pPr>
  </w:style>
  <w:style w:type="paragraph" w:customStyle="1" w:styleId="ListAlpha">
    <w:name w:val="List Alpha"/>
    <w:basedOn w:val="List"/>
    <w:rsid w:val="003336CF"/>
    <w:pPr>
      <w:numPr>
        <w:numId w:val="9"/>
      </w:numPr>
    </w:pPr>
  </w:style>
  <w:style w:type="paragraph" w:customStyle="1" w:styleId="ListAlpha2">
    <w:name w:val="List Alpha 2"/>
    <w:basedOn w:val="List2"/>
    <w:rsid w:val="003336CF"/>
    <w:pPr>
      <w:numPr>
        <w:numId w:val="8"/>
      </w:numPr>
    </w:pPr>
  </w:style>
  <w:style w:type="paragraph" w:styleId="List2">
    <w:name w:val="List 2"/>
    <w:basedOn w:val="BodyText"/>
    <w:rsid w:val="003336CF"/>
    <w:pPr>
      <w:tabs>
        <w:tab w:val="left" w:pos="680"/>
      </w:tabs>
      <w:spacing w:before="60" w:after="60"/>
      <w:ind w:left="680" w:hanging="340"/>
    </w:pPr>
  </w:style>
  <w:style w:type="paragraph" w:styleId="List3">
    <w:name w:val="List 3"/>
    <w:basedOn w:val="BodyText"/>
    <w:rsid w:val="003336CF"/>
    <w:pPr>
      <w:tabs>
        <w:tab w:val="left" w:pos="1021"/>
      </w:tabs>
      <w:spacing w:before="60" w:after="60"/>
      <w:ind w:left="1020" w:hanging="340"/>
    </w:pPr>
  </w:style>
  <w:style w:type="paragraph" w:styleId="List4">
    <w:name w:val="List 4"/>
    <w:basedOn w:val="BodyText"/>
    <w:rsid w:val="003336CF"/>
    <w:pPr>
      <w:tabs>
        <w:tab w:val="left" w:pos="1361"/>
      </w:tabs>
      <w:spacing w:before="60" w:after="60"/>
      <w:ind w:left="1361" w:hanging="340"/>
    </w:pPr>
  </w:style>
  <w:style w:type="paragraph" w:styleId="List5">
    <w:name w:val="List 5"/>
    <w:basedOn w:val="BodyText"/>
    <w:rsid w:val="003336CF"/>
    <w:pPr>
      <w:tabs>
        <w:tab w:val="left" w:pos="1701"/>
      </w:tabs>
      <w:spacing w:before="60" w:after="60"/>
      <w:ind w:left="1701" w:hanging="340"/>
    </w:pPr>
  </w:style>
  <w:style w:type="paragraph" w:styleId="ListBullet3">
    <w:name w:val="List Bullet 3"/>
    <w:basedOn w:val="List3"/>
    <w:rsid w:val="003336CF"/>
    <w:pPr>
      <w:numPr>
        <w:numId w:val="14"/>
      </w:numPr>
      <w:tabs>
        <w:tab w:val="clear" w:pos="1021"/>
      </w:tabs>
      <w:ind w:left="1037" w:hanging="357"/>
    </w:pPr>
  </w:style>
  <w:style w:type="paragraph" w:styleId="ListBullet4">
    <w:name w:val="List Bullet 4"/>
    <w:basedOn w:val="List4"/>
    <w:rsid w:val="003336CF"/>
    <w:pPr>
      <w:numPr>
        <w:numId w:val="3"/>
      </w:numPr>
      <w:tabs>
        <w:tab w:val="clear" w:pos="1361"/>
      </w:tabs>
    </w:pPr>
  </w:style>
  <w:style w:type="paragraph" w:styleId="ListBullet5">
    <w:name w:val="List Bullet 5"/>
    <w:basedOn w:val="List5"/>
    <w:rsid w:val="003336CF"/>
    <w:pPr>
      <w:numPr>
        <w:numId w:val="4"/>
      </w:numPr>
    </w:pPr>
  </w:style>
  <w:style w:type="paragraph" w:styleId="ListContinue2">
    <w:name w:val="List Continue 2"/>
    <w:basedOn w:val="List2"/>
    <w:rsid w:val="003336CF"/>
    <w:pPr>
      <w:ind w:firstLine="0"/>
    </w:pPr>
  </w:style>
  <w:style w:type="paragraph" w:styleId="ListContinue3">
    <w:name w:val="List Continue 3"/>
    <w:basedOn w:val="List3"/>
    <w:rsid w:val="003336CF"/>
    <w:pPr>
      <w:ind w:left="1021" w:firstLine="0"/>
    </w:pPr>
  </w:style>
  <w:style w:type="paragraph" w:styleId="ListContinue4">
    <w:name w:val="List Continue 4"/>
    <w:basedOn w:val="List4"/>
    <w:rsid w:val="003336CF"/>
    <w:pPr>
      <w:ind w:firstLine="0"/>
    </w:pPr>
  </w:style>
  <w:style w:type="paragraph" w:styleId="ListContinue5">
    <w:name w:val="List Continue 5"/>
    <w:basedOn w:val="List5"/>
    <w:rsid w:val="003336CF"/>
    <w:pPr>
      <w:ind w:firstLine="0"/>
    </w:pPr>
  </w:style>
  <w:style w:type="paragraph" w:styleId="ListNumber3">
    <w:name w:val="List Number 3"/>
    <w:basedOn w:val="List3"/>
    <w:rsid w:val="003336CF"/>
    <w:pPr>
      <w:numPr>
        <w:numId w:val="5"/>
      </w:numPr>
    </w:pPr>
  </w:style>
  <w:style w:type="paragraph" w:styleId="ListNumber4">
    <w:name w:val="List Number 4"/>
    <w:basedOn w:val="List4"/>
    <w:rsid w:val="003336CF"/>
    <w:pPr>
      <w:numPr>
        <w:numId w:val="6"/>
      </w:numPr>
    </w:pPr>
  </w:style>
  <w:style w:type="paragraph" w:styleId="ListNumber5">
    <w:name w:val="List Number 5"/>
    <w:basedOn w:val="List5"/>
    <w:rsid w:val="003336CF"/>
    <w:pPr>
      <w:numPr>
        <w:numId w:val="7"/>
      </w:numPr>
    </w:pPr>
  </w:style>
  <w:style w:type="paragraph" w:styleId="BlockText">
    <w:name w:val="Block Text"/>
    <w:basedOn w:val="Normal"/>
    <w:rsid w:val="003336CF"/>
    <w:pPr>
      <w:spacing w:after="120"/>
      <w:ind w:left="1440" w:right="1440"/>
    </w:pPr>
  </w:style>
  <w:style w:type="character" w:customStyle="1" w:styleId="Subscript">
    <w:name w:val="Subscript"/>
    <w:basedOn w:val="DefaultParagraphFont"/>
    <w:rsid w:val="003336CF"/>
    <w:rPr>
      <w:sz w:val="16"/>
      <w:vertAlign w:val="subscript"/>
    </w:rPr>
  </w:style>
  <w:style w:type="character" w:customStyle="1" w:styleId="Superscript">
    <w:name w:val="Superscript"/>
    <w:basedOn w:val="DefaultParagraphFont"/>
    <w:rsid w:val="003336CF"/>
    <w:rPr>
      <w:sz w:val="16"/>
      <w:vertAlign w:val="superscript"/>
    </w:rPr>
  </w:style>
  <w:style w:type="character" w:customStyle="1" w:styleId="Symbols">
    <w:name w:val="Symbols"/>
    <w:basedOn w:val="DefaultParagraphFont"/>
    <w:rsid w:val="003336CF"/>
    <w:rPr>
      <w:rFonts w:ascii="Symbol" w:hAnsi="Symbol"/>
    </w:rPr>
  </w:style>
  <w:style w:type="character" w:customStyle="1" w:styleId="MenuOptions">
    <w:name w:val="Menu Options"/>
    <w:basedOn w:val="DefaultParagraphFont"/>
    <w:rsid w:val="003336CF"/>
    <w:rPr>
      <w:rFonts w:ascii="Arial Narrow" w:hAnsi="Arial Narrow"/>
      <w:smallCaps/>
    </w:rPr>
  </w:style>
  <w:style w:type="character" w:customStyle="1" w:styleId="Buttons">
    <w:name w:val="Buttons"/>
    <w:basedOn w:val="DefaultParagraphFont"/>
    <w:rsid w:val="003336CF"/>
    <w:rPr>
      <w:b/>
    </w:rPr>
  </w:style>
  <w:style w:type="character" w:customStyle="1" w:styleId="Underlined">
    <w:name w:val="Underlined"/>
    <w:basedOn w:val="DefaultParagraphFont"/>
    <w:rsid w:val="003336CF"/>
    <w:rPr>
      <w:u w:val="single"/>
    </w:rPr>
  </w:style>
  <w:style w:type="paragraph" w:customStyle="1" w:styleId="TableBodyTextRight">
    <w:name w:val="Table Body Text Right"/>
    <w:basedOn w:val="TableBodyText"/>
    <w:rsid w:val="003336CF"/>
    <w:pPr>
      <w:widowControl w:val="0"/>
      <w:autoSpaceDE w:val="0"/>
      <w:autoSpaceDN w:val="0"/>
      <w:adjustRightInd w:val="0"/>
      <w:jc w:val="right"/>
    </w:pPr>
    <w:rPr>
      <w:rFonts w:cs="Arial"/>
      <w:szCs w:val="18"/>
    </w:rPr>
  </w:style>
  <w:style w:type="paragraph" w:customStyle="1" w:styleId="CopyrightText">
    <w:name w:val="Copyright Text"/>
    <w:basedOn w:val="BodyText"/>
    <w:rsid w:val="003336CF"/>
    <w:rPr>
      <w:sz w:val="18"/>
    </w:rPr>
  </w:style>
  <w:style w:type="paragraph" w:customStyle="1" w:styleId="BodySmallRight">
    <w:name w:val="Body Small Right"/>
    <w:basedOn w:val="BodyTextRight"/>
    <w:rsid w:val="003336CF"/>
    <w:rPr>
      <w:sz w:val="18"/>
      <w:szCs w:val="18"/>
    </w:rPr>
  </w:style>
  <w:style w:type="paragraph" w:customStyle="1" w:styleId="MarginEdition">
    <w:name w:val="Margin Edition"/>
    <w:basedOn w:val="MarginNote"/>
    <w:rsid w:val="003336CF"/>
    <w:pPr>
      <w:spacing w:before="0" w:after="0"/>
    </w:pPr>
    <w:rPr>
      <w:rFonts w:ascii="Times New Roman" w:hAnsi="Times New Roman"/>
      <w:color w:val="999999"/>
    </w:rPr>
  </w:style>
  <w:style w:type="paragraph" w:customStyle="1" w:styleId="Spacer">
    <w:name w:val="Spacer"/>
    <w:basedOn w:val="Normal"/>
    <w:rsid w:val="003336CF"/>
    <w:rPr>
      <w:sz w:val="2"/>
      <w:szCs w:val="2"/>
    </w:rPr>
  </w:style>
  <w:style w:type="character" w:customStyle="1" w:styleId="Small">
    <w:name w:val="Small"/>
    <w:basedOn w:val="DefaultParagraphFont"/>
    <w:rsid w:val="003336CF"/>
    <w:rPr>
      <w:sz w:val="16"/>
    </w:rPr>
  </w:style>
  <w:style w:type="paragraph" w:customStyle="1" w:styleId="WideTable">
    <w:name w:val="Wide Table"/>
    <w:basedOn w:val="Normal"/>
    <w:rsid w:val="003336CF"/>
    <w:pPr>
      <w:ind w:left="-1418"/>
    </w:pPr>
    <w:rPr>
      <w:sz w:val="2"/>
      <w:szCs w:val="2"/>
    </w:rPr>
  </w:style>
  <w:style w:type="character" w:styleId="PageNumber">
    <w:name w:val="page number"/>
    <w:basedOn w:val="DefaultParagraphFont"/>
    <w:rsid w:val="003336CF"/>
  </w:style>
  <w:style w:type="paragraph" w:styleId="Quote">
    <w:name w:val="Quote"/>
    <w:basedOn w:val="Heading1"/>
    <w:link w:val="QuoteChar"/>
    <w:qFormat/>
    <w:rsid w:val="003336CF"/>
    <w:rPr>
      <w:b w:val="0"/>
      <w:sz w:val="72"/>
      <w:szCs w:val="72"/>
      <w:lang w:val="en-NZ"/>
    </w:rPr>
  </w:style>
  <w:style w:type="character" w:customStyle="1" w:styleId="QuoteChar">
    <w:name w:val="Quote Char"/>
    <w:basedOn w:val="DefaultParagraphFont"/>
    <w:link w:val="Quote"/>
    <w:rsid w:val="00333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6CF"/>
    <w:pPr>
      <w:pageBreakBefore/>
    </w:pPr>
  </w:style>
  <w:style w:type="paragraph" w:customStyle="1" w:styleId="Border">
    <w:name w:val="Border"/>
    <w:basedOn w:val="Normal"/>
    <w:qFormat/>
    <w:rsid w:val="00333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6CF"/>
    <w:rPr>
      <w:b/>
      <w:bCs/>
      <w:i/>
      <w:iCs/>
      <w:color w:val="auto"/>
    </w:rPr>
  </w:style>
  <w:style w:type="paragraph" w:styleId="IntenseQuote">
    <w:name w:val="Intense Quote"/>
    <w:basedOn w:val="Normal"/>
    <w:next w:val="Normal"/>
    <w:link w:val="IntenseQuoteChar"/>
    <w:uiPriority w:val="30"/>
    <w:qFormat/>
    <w:rsid w:val="00333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6CF"/>
    <w:rPr>
      <w:smallCaps/>
      <w:color w:val="auto"/>
      <w:u w:val="single"/>
    </w:rPr>
  </w:style>
  <w:style w:type="character" w:styleId="IntenseReference">
    <w:name w:val="Intense Reference"/>
    <w:basedOn w:val="DefaultParagraphFont"/>
    <w:uiPriority w:val="32"/>
    <w:qFormat/>
    <w:rsid w:val="003336CF"/>
    <w:rPr>
      <w:b/>
      <w:bCs/>
      <w:smallCaps/>
      <w:color w:val="auto"/>
      <w:spacing w:val="5"/>
      <w:u w:val="single"/>
    </w:rPr>
  </w:style>
  <w:style w:type="paragraph" w:customStyle="1" w:styleId="2ColumnHeading">
    <w:name w:val="2Column Heading"/>
    <w:basedOn w:val="BodyText"/>
    <w:qFormat/>
    <w:rsid w:val="003336CF"/>
    <w:pPr>
      <w:spacing w:after="60"/>
      <w:ind w:left="-2268"/>
    </w:pPr>
    <w:rPr>
      <w:b/>
    </w:rPr>
  </w:style>
  <w:style w:type="paragraph" w:customStyle="1" w:styleId="Heading1TOC">
    <w:name w:val="Heading1 TOC"/>
    <w:basedOn w:val="Normal"/>
    <w:qFormat/>
    <w:rsid w:val="003336CF"/>
    <w:pPr>
      <w:spacing w:before="240" w:after="120"/>
    </w:pPr>
    <w:rPr>
      <w:rFonts w:ascii="Times New Roman" w:hAnsi="Times New Roman"/>
      <w:b/>
      <w:sz w:val="32"/>
    </w:rPr>
  </w:style>
  <w:style w:type="paragraph" w:customStyle="1" w:styleId="Heading2TOC">
    <w:name w:val="Heading2 TOC"/>
    <w:basedOn w:val="Normal"/>
    <w:qFormat/>
    <w:rsid w:val="003336CF"/>
    <w:pPr>
      <w:spacing w:before="240" w:after="60"/>
    </w:pPr>
    <w:rPr>
      <w:rFonts w:ascii="Times New Roman" w:hAnsi="Times New Roman"/>
      <w:b/>
      <w:sz w:val="28"/>
    </w:rPr>
  </w:style>
  <w:style w:type="character" w:customStyle="1" w:styleId="Underline">
    <w:name w:val="Underline"/>
    <w:basedOn w:val="DefaultParagraphFont"/>
    <w:qFormat/>
    <w:rsid w:val="003336CF"/>
    <w:rPr>
      <w:u w:val="single"/>
    </w:rPr>
  </w:style>
  <w:style w:type="character" w:customStyle="1" w:styleId="BoldandItalics">
    <w:name w:val="Bold and Italics"/>
    <w:qFormat/>
    <w:rsid w:val="003336CF"/>
    <w:rPr>
      <w:b/>
      <w:i/>
      <w:u w:val="none"/>
    </w:rPr>
  </w:style>
  <w:style w:type="paragraph" w:styleId="BalloonText">
    <w:name w:val="Balloon Text"/>
    <w:basedOn w:val="Normal"/>
    <w:link w:val="BalloonTextChar"/>
    <w:rsid w:val="003336CF"/>
    <w:rPr>
      <w:rFonts w:ascii="Tahoma" w:hAnsi="Tahoma" w:cs="Tahoma"/>
      <w:sz w:val="16"/>
      <w:szCs w:val="16"/>
    </w:rPr>
  </w:style>
  <w:style w:type="character" w:customStyle="1" w:styleId="BalloonTextChar">
    <w:name w:val="Balloon Text Char"/>
    <w:basedOn w:val="DefaultParagraphFont"/>
    <w:link w:val="BalloonText"/>
    <w:rsid w:val="00333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6CF"/>
    <w:rPr>
      <w:b/>
      <w:color w:val="660033"/>
      <w:spacing w:val="0"/>
    </w:rPr>
  </w:style>
  <w:style w:type="paragraph" w:customStyle="1" w:styleId="Nameditemlist">
    <w:name w:val="Named item list"/>
    <w:basedOn w:val="BodyText"/>
    <w:qFormat/>
    <w:rsid w:val="003336CF"/>
    <w:pPr>
      <w:tabs>
        <w:tab w:val="left" w:pos="2835"/>
      </w:tabs>
      <w:ind w:left="2835" w:hanging="2835"/>
    </w:pPr>
  </w:style>
  <w:style w:type="paragraph" w:customStyle="1" w:styleId="BodyTextnopadding">
    <w:name w:val="Body Text no padding"/>
    <w:basedOn w:val="BodyText"/>
    <w:qFormat/>
    <w:rsid w:val="003336CF"/>
    <w:pPr>
      <w:spacing w:before="0" w:after="0"/>
    </w:pPr>
  </w:style>
  <w:style w:type="paragraph" w:customStyle="1" w:styleId="BodyTextBold">
    <w:name w:val="Body Text Bold"/>
    <w:basedOn w:val="BodyText"/>
    <w:qFormat/>
    <w:rsid w:val="003336CF"/>
    <w:rPr>
      <w:b/>
    </w:rPr>
  </w:style>
  <w:style w:type="character" w:styleId="Hyperlink">
    <w:name w:val="Hyperlink"/>
    <w:basedOn w:val="DefaultParagraphFont"/>
    <w:uiPriority w:val="99"/>
    <w:unhideWhenUsed/>
    <w:rsid w:val="008C1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7074</Characters>
  <Application>Microsoft Office Word</Application>
  <DocSecurity>0</DocSecurity>
  <Lines>307</Lines>
  <Paragraphs>195</Paragraphs>
  <ScaleCrop>false</ScaleCrop>
  <Company>Author-it Software Corporation Ltd.</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MEM21005 Diagnose faults in quartz watches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