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462" w:rsidP="002334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MEM21004 Clean watch and clock components</w:t>
      </w:r>
      <w:r>
        <w:fldChar w:fldCharType="end"/>
      </w:r>
    </w:p>
    <w:p w:rsidR="00233462" w:rsidP="00233462">
      <w:pPr>
        <w:pStyle w:val="Version"/>
        <w:sectPr w:rsidSect="000A74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4C6" w:rsidP="000A74C6">
      <w:pPr>
        <w:pStyle w:val="SuperHeading"/>
      </w:pPr>
      <w:r w:rsidRPr="000A74C6">
        <w:t>Assessment Requirements for MEM21004 Clean watch and clock components</w:t>
      </w:r>
    </w:p>
    <w:p w:rsidR="00000000" w:rsidRPr="000A74C6" w:rsidP="000A74C6">
      <w:pPr>
        <w:pStyle w:val="Heading1"/>
      </w:pPr>
      <w:bookmarkStart w:id="1" w:name="O_951175"/>
      <w:bookmarkEnd w:id="1"/>
      <w:r w:rsidRPr="000A74C6">
        <w:t>Modification History</w:t>
      </w:r>
    </w:p>
    <w:p w:rsidR="00000000" w:rsidRPr="000A74C6" w:rsidP="00233462">
      <w:pPr>
        <w:pStyle w:val="BodyText"/>
      </w:pPr>
      <w:r w:rsidRPr="000A74C6">
        <w:t xml:space="preserve">Release 1. Supersedes and is equivalent to MEM21004A Clean watch and clock components </w:t>
      </w:r>
    </w:p>
    <w:p w:rsidR="00000000" w:rsidRPr="000A74C6" w:rsidP="000A74C6">
      <w:pPr>
        <w:pStyle w:val="Heading1"/>
      </w:pPr>
      <w:bookmarkStart w:id="2" w:name="O_951178"/>
      <w:bookmarkEnd w:id="2"/>
      <w:r w:rsidRPr="000A74C6">
        <w:t>Performance Evidence</w:t>
      </w:r>
    </w:p>
    <w:p w:rsidR="00000000" w:rsidRPr="000A74C6" w:rsidP="00233462">
      <w:pPr>
        <w:pStyle w:val="BodyText"/>
      </w:pPr>
      <w:r w:rsidRPr="000A74C6">
        <w:t>Evidence required to demonstrate competence in this unit must be relevant to and satisfy the requirements of the elements and performance criteria on at least two (2) occasions and include:</w:t>
      </w:r>
    </w:p>
    <w:p w:rsidR="00000000" w:rsidRPr="000A74C6" w:rsidP="000A74C6">
      <w:pPr>
        <w:pStyle w:val="ListBullet"/>
      </w:pPr>
      <w:r w:rsidRPr="000A74C6">
        <w:t>following work instructions, standard operating procedures (SOPs)</w:t>
      </w:r>
      <w:r w:rsidRPr="000A74C6">
        <w:t xml:space="preserve"> and safe work practices </w:t>
      </w:r>
    </w:p>
    <w:p w:rsidR="00000000" w:rsidRPr="000A74C6" w:rsidP="000A74C6">
      <w:pPr>
        <w:pStyle w:val="ListBullet"/>
      </w:pPr>
      <w:r w:rsidRPr="000A74C6">
        <w:t>selecting appropriate cleaning methods, processes and equipment appropriate to the work being carried out</w:t>
      </w:r>
    </w:p>
    <w:p w:rsidR="00000000" w:rsidRPr="000A74C6" w:rsidP="000A74C6">
      <w:pPr>
        <w:pStyle w:val="ListBullet"/>
      </w:pPr>
      <w:r w:rsidRPr="000A74C6">
        <w:t>selecting cleaning solutions appropriate to component, finish, surface coating and material</w:t>
      </w:r>
    </w:p>
    <w:p w:rsidR="00000000" w:rsidRPr="000A74C6" w:rsidP="000A74C6">
      <w:pPr>
        <w:pStyle w:val="ListBullet"/>
      </w:pPr>
      <w:r w:rsidRPr="000A74C6">
        <w:t>working safely with chemicals an</w:t>
      </w:r>
      <w:r w:rsidRPr="000A74C6">
        <w:t>d equipment based on information in relevant safety data sheet (SDS)</w:t>
      </w:r>
    </w:p>
    <w:p w:rsidR="00000000" w:rsidRPr="000A74C6" w:rsidP="000A74C6">
      <w:pPr>
        <w:pStyle w:val="ListBullet"/>
      </w:pPr>
      <w:r w:rsidRPr="000A74C6">
        <w:t>sorting and tracking components during cleaning process</w:t>
      </w:r>
    </w:p>
    <w:p w:rsidR="00000000" w:rsidRPr="000A74C6" w:rsidP="000A74C6">
      <w:pPr>
        <w:pStyle w:val="ListBullet"/>
      </w:pPr>
      <w:r w:rsidRPr="000A74C6">
        <w:t>cleaning components without damage and verifying components have been effectively cleaned</w:t>
      </w:r>
    </w:p>
    <w:p w:rsidR="00000000" w:rsidRPr="000A74C6" w:rsidP="000A74C6">
      <w:pPr>
        <w:pStyle w:val="ListBullet"/>
      </w:pPr>
      <w:r w:rsidRPr="000A74C6">
        <w:t xml:space="preserve">following emergency response procedures, </w:t>
      </w:r>
      <w:r w:rsidRPr="000A74C6">
        <w:t>as required.</w:t>
      </w:r>
    </w:p>
    <w:p w:rsidR="00000000" w:rsidRPr="000A74C6" w:rsidP="000A74C6">
      <w:pPr>
        <w:pStyle w:val="AllowPageBreak"/>
      </w:pPr>
    </w:p>
    <w:p w:rsidR="00000000" w:rsidRPr="000A74C6" w:rsidP="000A74C6">
      <w:pPr>
        <w:pStyle w:val="Heading1"/>
      </w:pPr>
      <w:bookmarkStart w:id="3" w:name="O_951177"/>
      <w:bookmarkEnd w:id="3"/>
      <w:r w:rsidRPr="000A74C6">
        <w:t>Knowledge Evidence</w:t>
      </w:r>
    </w:p>
    <w:p w:rsidR="00000000" w:rsidRPr="000A74C6" w:rsidP="00233462">
      <w:pPr>
        <w:pStyle w:val="BodyText"/>
      </w:pPr>
      <w:r w:rsidRPr="000A74C6">
        <w:t>Evidence required to demonstrate the required knowledge for this unit must be relevant to and satisfy the requirements of the elements and performance criteria and include knowledge of:</w:t>
      </w:r>
    </w:p>
    <w:p w:rsidR="00000000" w:rsidRPr="000A74C6" w:rsidP="000A74C6">
      <w:pPr>
        <w:pStyle w:val="ListBullet"/>
      </w:pPr>
      <w:r w:rsidRPr="000A74C6">
        <w:t xml:space="preserve">safe work practices </w:t>
      </w:r>
      <w:r w:rsidRPr="000A74C6">
        <w:t>and procedures and use of personal protective equipment (PPE)</w:t>
      </w:r>
    </w:p>
    <w:p w:rsidR="00000000" w:rsidRPr="000A74C6" w:rsidP="000A74C6">
      <w:pPr>
        <w:pStyle w:val="ListBullet"/>
      </w:pPr>
      <w:r w:rsidRPr="000A74C6">
        <w:t>cleaning solutions and uses</w:t>
      </w:r>
    </w:p>
    <w:p w:rsidR="00000000" w:rsidRPr="000A74C6" w:rsidP="000A74C6">
      <w:pPr>
        <w:pStyle w:val="ListBullet"/>
      </w:pPr>
      <w:r w:rsidRPr="000A74C6">
        <w:t>cleaning procedures for different components and finishes</w:t>
      </w:r>
    </w:p>
    <w:p w:rsidR="00000000" w:rsidRPr="000A74C6" w:rsidP="000A74C6">
      <w:pPr>
        <w:pStyle w:val="ListBullet"/>
      </w:pPr>
      <w:r w:rsidRPr="000A74C6">
        <w:t>watch case cleaning methods (ultrasonic and vibrationary)</w:t>
      </w:r>
    </w:p>
    <w:p w:rsidR="00000000" w:rsidRPr="000A74C6" w:rsidP="000A74C6">
      <w:pPr>
        <w:pStyle w:val="ListBullet"/>
      </w:pPr>
      <w:r w:rsidRPr="000A74C6">
        <w:t>cleaning machine types, uses, function and operati</w:t>
      </w:r>
      <w:r w:rsidRPr="000A74C6">
        <w:t>on</w:t>
      </w:r>
    </w:p>
    <w:p w:rsidR="00000000" w:rsidRPr="000A74C6" w:rsidP="000A74C6">
      <w:pPr>
        <w:pStyle w:val="ListBullet"/>
      </w:pPr>
      <w:r w:rsidRPr="000A74C6">
        <w:t xml:space="preserve">potential for damage to components by chemicals or cleaning operations </w:t>
      </w:r>
    </w:p>
    <w:p w:rsidR="00000000" w:rsidRPr="000A74C6" w:rsidP="000A74C6">
      <w:pPr>
        <w:pStyle w:val="ListBullet"/>
      </w:pPr>
      <w:r w:rsidRPr="000A74C6">
        <w:t>chemical storage and disposal.</w:t>
      </w:r>
    </w:p>
    <w:p w:rsidR="00000000" w:rsidRPr="000A74C6" w:rsidP="000A74C6">
      <w:pPr>
        <w:pStyle w:val="AllowPageBreak"/>
      </w:pPr>
    </w:p>
    <w:p w:rsidR="00000000" w:rsidRPr="000A74C6" w:rsidP="000A74C6">
      <w:pPr>
        <w:pStyle w:val="Heading1"/>
      </w:pPr>
      <w:bookmarkStart w:id="4" w:name="O_951176"/>
      <w:bookmarkEnd w:id="4"/>
      <w:r w:rsidRPr="000A74C6">
        <w:t>Assessment Conditions</w:t>
      </w:r>
    </w:p>
    <w:p w:rsidR="00000000" w:rsidRPr="000A74C6" w:rsidP="000A74C6">
      <w:pPr>
        <w:pStyle w:val="ListBullet"/>
      </w:pPr>
      <w:r w:rsidRPr="000A74C6">
        <w:t>Assessors must:</w:t>
      </w:r>
    </w:p>
    <w:p w:rsidR="00000000" w:rsidRPr="000A74C6" w:rsidP="000A74C6">
      <w:pPr>
        <w:pStyle w:val="ListBullet2"/>
      </w:pPr>
      <w:r w:rsidRPr="000A74C6">
        <w:t>have vocational competency in cleaning watch and clock components at least to the level being assessed with relevant industry knowledge and experience</w:t>
      </w:r>
    </w:p>
    <w:p w:rsidR="00000000" w:rsidRPr="000A74C6" w:rsidP="000A74C6">
      <w:pPr>
        <w:pStyle w:val="ListBullet2"/>
      </w:pPr>
      <w:r w:rsidRPr="000A74C6">
        <w:t xml:space="preserve">satisfy the assessor requirements in the </w:t>
      </w:r>
      <w:r w:rsidRPr="000A74C6">
        <w:rPr>
          <w:rStyle w:val="Emphasis"/>
        </w:rPr>
        <w:t xml:space="preserve">Standards for Registered Training Organisations 2015 </w:t>
      </w:r>
      <w:r w:rsidRPr="000A74C6">
        <w:t>or its repl</w:t>
      </w:r>
      <w:r w:rsidRPr="000A74C6">
        <w:t>acement</w:t>
      </w:r>
      <w:r w:rsidRPr="000A74C6">
        <w:rPr>
          <w:rStyle w:val="Emphasis"/>
        </w:rPr>
        <w:t xml:space="preserve"> </w:t>
      </w:r>
      <w:r w:rsidRPr="000A74C6">
        <w:t xml:space="preserve">and comply with the </w:t>
      </w:r>
      <w:r w:rsidRPr="000A74C6">
        <w:rPr>
          <w:rStyle w:val="Emphasis"/>
        </w:rPr>
        <w:t xml:space="preserve">National Vocational Education and Training Regulator Act 2011, </w:t>
      </w:r>
      <w:r w:rsidRPr="000A74C6">
        <w:t>its replacement</w:t>
      </w:r>
      <w:r w:rsidRPr="000A74C6">
        <w:rPr>
          <w:rStyle w:val="Emphasis"/>
        </w:rPr>
        <w:t xml:space="preserve"> </w:t>
      </w:r>
      <w:r w:rsidRPr="000A74C6">
        <w:t>or equivalent legislation covering VET regulation in a non-referring state/territory as the case requires</w:t>
      </w:r>
    </w:p>
    <w:p w:rsidR="00000000" w:rsidRPr="000A74C6" w:rsidP="000A74C6">
      <w:pPr>
        <w:pStyle w:val="ListBullet"/>
      </w:pPr>
      <w:r w:rsidRPr="000A74C6">
        <w:t>Where possible assessment must occur in op</w:t>
      </w:r>
      <w:r w:rsidRPr="000A74C6">
        <w:t>erational workplace situations. Where this is not possible or where personal safety or environmental damage are limiting factors, assessment must occur in a sufficiently rigorous simulated environment that reflects realistic operational workplace condition</w:t>
      </w:r>
      <w:r w:rsidRPr="000A74C6">
        <w:t>s. This must cover all aspects of workplace performance, including environment, task skills, task management skills, contingency management skills and job role environment skills</w:t>
      </w:r>
    </w:p>
    <w:p w:rsidR="00000000" w:rsidRPr="000A74C6" w:rsidP="000A74C6">
      <w:pPr>
        <w:pStyle w:val="ListBullet"/>
      </w:pPr>
      <w:r w:rsidRPr="000A74C6">
        <w:t>Conditions for assessment must include access to all tools, equipment, materi</w:t>
      </w:r>
      <w:r w:rsidRPr="000A74C6">
        <w:t>als and documentation required, including relevant workplace procedures, product and manufacturing specifications</w:t>
      </w:r>
    </w:p>
    <w:p w:rsidR="00000000" w:rsidRPr="000A74C6" w:rsidP="000A74C6">
      <w:pPr>
        <w:pStyle w:val="ListBullet"/>
      </w:pPr>
      <w:r w:rsidRPr="000A74C6">
        <w:t>Assessment processes and techniques must be appropriate to the language, literacy and numeracy requirements of the work being performed and th</w:t>
      </w:r>
      <w:r w:rsidRPr="000A74C6">
        <w:t>e needs of the candidate.</w:t>
      </w:r>
    </w:p>
    <w:p w:rsidR="00000000" w:rsidRPr="000A74C6" w:rsidP="000A74C6">
      <w:pPr>
        <w:pStyle w:val="AllowPageBreak"/>
      </w:pPr>
    </w:p>
    <w:p w:rsidR="00000000" w:rsidRPr="000A74C6" w:rsidP="000A74C6">
      <w:pPr>
        <w:pStyle w:val="Heading1"/>
      </w:pPr>
      <w:bookmarkStart w:id="5" w:name="O_951174"/>
      <w:bookmarkEnd w:id="5"/>
      <w:r w:rsidRPr="000A74C6">
        <w:t>Links</w:t>
      </w:r>
    </w:p>
    <w:p w:rsidR="00000000" w:rsidRPr="000A74C6" w:rsidP="00233462">
      <w:pPr>
        <w:pStyle w:val="BodyText"/>
      </w:pPr>
      <w:r w:rsidRPr="000A74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64CF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A74C6" w:rsidP="000A74C6"/>
    <w:sectPr w:rsidSect="000A74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C6" w:rsidRPr="00233462" w:rsidP="002334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62" w:rsidP="000A74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3462" w:rsidP="000A74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3462" w:rsidP="000A74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4C6" w:rsidRPr="00233462" w:rsidP="002334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62" w:rsidRPr="002D2AF8" w:rsidP="000A74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MEM21004 Clean watch and clock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33462" w:rsidP="000A74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9AF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780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9AAE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4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4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4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4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4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4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4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4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4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4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4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4C6"/>
  </w:style>
  <w:style w:type="character" w:customStyle="1" w:styleId="Heading1Char">
    <w:name w:val="Heading 1 Char"/>
    <w:basedOn w:val="DefaultParagraphFont"/>
    <w:link w:val="Heading1"/>
    <w:rsid w:val="000A74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4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4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4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74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74C6"/>
    <w:rPr>
      <w:i/>
    </w:rPr>
  </w:style>
  <w:style w:type="paragraph" w:customStyle="1" w:styleId="SuperHeading">
    <w:name w:val="SuperHeading"/>
    <w:basedOn w:val="Normal"/>
    <w:rsid w:val="000A74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4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74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4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4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4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4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4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4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4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4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4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4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4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4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4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4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4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74C6"/>
    <w:rPr>
      <w:b/>
      <w:spacing w:val="0"/>
    </w:rPr>
  </w:style>
  <w:style w:type="paragraph" w:customStyle="1" w:styleId="SuperTitle">
    <w:name w:val="SuperTitle"/>
    <w:basedOn w:val="Title"/>
    <w:rsid w:val="000A74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4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4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4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4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4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4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4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4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4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4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4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74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4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4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4C6"/>
  </w:style>
  <w:style w:type="paragraph" w:styleId="TableofFigures">
    <w:name w:val="table of figures"/>
    <w:basedOn w:val="Normal"/>
    <w:next w:val="Normal"/>
    <w:semiHidden/>
    <w:rsid w:val="000A74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4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74C6"/>
    <w:rPr>
      <w:rFonts w:ascii="Wingdings" w:hAnsi="Wingdings"/>
    </w:rPr>
  </w:style>
  <w:style w:type="paragraph" w:customStyle="1" w:styleId="TableHeading">
    <w:name w:val="Table Heading"/>
    <w:basedOn w:val="HeadingBase"/>
    <w:rsid w:val="000A74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4C6"/>
    <w:rPr>
      <w:color w:val="0033CC"/>
      <w:u w:val="none"/>
    </w:rPr>
  </w:style>
  <w:style w:type="paragraph" w:customStyle="1" w:styleId="BodyTextRight">
    <w:name w:val="Body Text Right"/>
    <w:basedOn w:val="BodyText"/>
    <w:rsid w:val="000A74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4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4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4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4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4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4C6"/>
    <w:rPr>
      <w:sz w:val="32"/>
    </w:rPr>
  </w:style>
  <w:style w:type="paragraph" w:customStyle="1" w:styleId="HeadingProcedure">
    <w:name w:val="Heading Procedure"/>
    <w:basedOn w:val="HeadingBase"/>
    <w:next w:val="Normal"/>
    <w:rsid w:val="000A74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4C6"/>
    <w:pPr>
      <w:spacing w:before="60" w:after="60"/>
    </w:pPr>
  </w:style>
  <w:style w:type="paragraph" w:styleId="ListContinue">
    <w:name w:val="List Continue"/>
    <w:basedOn w:val="List"/>
    <w:rsid w:val="000A74C6"/>
    <w:pPr>
      <w:ind w:firstLine="0"/>
    </w:pPr>
  </w:style>
  <w:style w:type="paragraph" w:customStyle="1" w:styleId="ListNote">
    <w:name w:val="List Note"/>
    <w:basedOn w:val="List"/>
    <w:rsid w:val="000A74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4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4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4C6"/>
    <w:rPr>
      <w:rFonts w:ascii="Courier New" w:hAnsi="Courier New"/>
    </w:rPr>
  </w:style>
  <w:style w:type="paragraph" w:customStyle="1" w:styleId="NoteBullet">
    <w:name w:val="Note Bullet"/>
    <w:basedOn w:val="Note"/>
    <w:rsid w:val="000A74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4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4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4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4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74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4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4C6"/>
    <w:rPr>
      <w:b/>
      <w:smallCaps/>
    </w:rPr>
  </w:style>
  <w:style w:type="paragraph" w:customStyle="1" w:styleId="TableListNumber">
    <w:name w:val="Table List Number"/>
    <w:basedOn w:val="ListNumber"/>
    <w:rsid w:val="000A74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4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4C6"/>
    <w:pPr>
      <w:numPr>
        <w:numId w:val="9"/>
      </w:numPr>
    </w:pPr>
  </w:style>
  <w:style w:type="paragraph" w:customStyle="1" w:styleId="ListAlpha2">
    <w:name w:val="List Alpha 2"/>
    <w:basedOn w:val="List2"/>
    <w:rsid w:val="000A74C6"/>
    <w:pPr>
      <w:numPr>
        <w:numId w:val="8"/>
      </w:numPr>
    </w:pPr>
  </w:style>
  <w:style w:type="paragraph" w:styleId="List2">
    <w:name w:val="List 2"/>
    <w:basedOn w:val="BodyText"/>
    <w:rsid w:val="000A74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4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4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4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4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4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74C6"/>
    <w:pPr>
      <w:numPr>
        <w:numId w:val="4"/>
      </w:numPr>
    </w:pPr>
  </w:style>
  <w:style w:type="paragraph" w:styleId="ListContinue2">
    <w:name w:val="List Continue 2"/>
    <w:basedOn w:val="List2"/>
    <w:rsid w:val="000A74C6"/>
    <w:pPr>
      <w:ind w:firstLine="0"/>
    </w:pPr>
  </w:style>
  <w:style w:type="paragraph" w:styleId="ListContinue3">
    <w:name w:val="List Continue 3"/>
    <w:basedOn w:val="List3"/>
    <w:rsid w:val="000A74C6"/>
    <w:pPr>
      <w:ind w:left="1021" w:firstLine="0"/>
    </w:pPr>
  </w:style>
  <w:style w:type="paragraph" w:styleId="ListContinue4">
    <w:name w:val="List Continue 4"/>
    <w:basedOn w:val="List4"/>
    <w:rsid w:val="000A74C6"/>
    <w:pPr>
      <w:ind w:firstLine="0"/>
    </w:pPr>
  </w:style>
  <w:style w:type="paragraph" w:styleId="ListContinue5">
    <w:name w:val="List Continue 5"/>
    <w:basedOn w:val="List5"/>
    <w:rsid w:val="000A74C6"/>
    <w:pPr>
      <w:ind w:firstLine="0"/>
    </w:pPr>
  </w:style>
  <w:style w:type="paragraph" w:styleId="ListNumber3">
    <w:name w:val="List Number 3"/>
    <w:basedOn w:val="List3"/>
    <w:rsid w:val="000A74C6"/>
    <w:pPr>
      <w:numPr>
        <w:numId w:val="5"/>
      </w:numPr>
    </w:pPr>
  </w:style>
  <w:style w:type="paragraph" w:styleId="ListNumber4">
    <w:name w:val="List Number 4"/>
    <w:basedOn w:val="List4"/>
    <w:rsid w:val="000A74C6"/>
    <w:pPr>
      <w:numPr>
        <w:numId w:val="6"/>
      </w:numPr>
    </w:pPr>
  </w:style>
  <w:style w:type="paragraph" w:styleId="ListNumber5">
    <w:name w:val="List Number 5"/>
    <w:basedOn w:val="List5"/>
    <w:rsid w:val="000A74C6"/>
    <w:pPr>
      <w:numPr>
        <w:numId w:val="7"/>
      </w:numPr>
    </w:pPr>
  </w:style>
  <w:style w:type="paragraph" w:styleId="BlockText">
    <w:name w:val="Block Text"/>
    <w:basedOn w:val="Normal"/>
    <w:rsid w:val="000A74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4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4C6"/>
    <w:rPr>
      <w:sz w:val="16"/>
      <w:vertAlign w:val="superscript"/>
    </w:rPr>
  </w:style>
  <w:style w:type="character" w:customStyle="1" w:styleId="Symbols">
    <w:name w:val="Symbols"/>
    <w:basedOn w:val="DefaultParagraphFont"/>
    <w:rsid w:val="000A74C6"/>
    <w:rPr>
      <w:rFonts w:ascii="Symbol" w:hAnsi="Symbol"/>
    </w:rPr>
  </w:style>
  <w:style w:type="character" w:customStyle="1" w:styleId="MenuOptions">
    <w:name w:val="Menu Options"/>
    <w:basedOn w:val="DefaultParagraphFont"/>
    <w:rsid w:val="000A74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4C6"/>
    <w:rPr>
      <w:b/>
    </w:rPr>
  </w:style>
  <w:style w:type="character" w:customStyle="1" w:styleId="Underlined">
    <w:name w:val="Underlined"/>
    <w:basedOn w:val="DefaultParagraphFont"/>
    <w:rsid w:val="000A74C6"/>
    <w:rPr>
      <w:u w:val="single"/>
    </w:rPr>
  </w:style>
  <w:style w:type="paragraph" w:customStyle="1" w:styleId="TableBodyTextRight">
    <w:name w:val="Table Body Text Right"/>
    <w:basedOn w:val="TableBodyText"/>
    <w:rsid w:val="000A74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4C6"/>
    <w:rPr>
      <w:sz w:val="18"/>
    </w:rPr>
  </w:style>
  <w:style w:type="paragraph" w:customStyle="1" w:styleId="BodySmallRight">
    <w:name w:val="Body Small Right"/>
    <w:basedOn w:val="BodyTextRight"/>
    <w:rsid w:val="000A74C6"/>
    <w:rPr>
      <w:sz w:val="18"/>
      <w:szCs w:val="18"/>
    </w:rPr>
  </w:style>
  <w:style w:type="paragraph" w:customStyle="1" w:styleId="MarginEdition">
    <w:name w:val="Margin Edition"/>
    <w:basedOn w:val="MarginNote"/>
    <w:rsid w:val="000A74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4C6"/>
    <w:rPr>
      <w:sz w:val="2"/>
      <w:szCs w:val="2"/>
    </w:rPr>
  </w:style>
  <w:style w:type="character" w:customStyle="1" w:styleId="Small">
    <w:name w:val="Small"/>
    <w:basedOn w:val="DefaultParagraphFont"/>
    <w:rsid w:val="000A74C6"/>
    <w:rPr>
      <w:sz w:val="16"/>
    </w:rPr>
  </w:style>
  <w:style w:type="paragraph" w:customStyle="1" w:styleId="WideTable">
    <w:name w:val="Wide Table"/>
    <w:basedOn w:val="Normal"/>
    <w:rsid w:val="000A74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4C6"/>
  </w:style>
  <w:style w:type="paragraph" w:styleId="Quote">
    <w:name w:val="Quote"/>
    <w:basedOn w:val="Heading1"/>
    <w:link w:val="QuoteChar"/>
    <w:qFormat/>
    <w:rsid w:val="000A74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4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4C6"/>
    <w:pPr>
      <w:pageBreakBefore/>
    </w:pPr>
  </w:style>
  <w:style w:type="paragraph" w:customStyle="1" w:styleId="Border">
    <w:name w:val="Border"/>
    <w:basedOn w:val="Normal"/>
    <w:qFormat/>
    <w:rsid w:val="000A74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4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4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4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4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4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4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4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4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4C6"/>
    <w:rPr>
      <w:u w:val="single"/>
    </w:rPr>
  </w:style>
  <w:style w:type="character" w:customStyle="1" w:styleId="BoldandItalics">
    <w:name w:val="Bold and Italics"/>
    <w:qFormat/>
    <w:rsid w:val="000A74C6"/>
    <w:rPr>
      <w:b/>
      <w:i/>
      <w:u w:val="none"/>
    </w:rPr>
  </w:style>
  <w:style w:type="paragraph" w:styleId="BalloonText">
    <w:name w:val="Balloon Text"/>
    <w:basedOn w:val="Normal"/>
    <w:link w:val="BalloonTextChar"/>
    <w:rsid w:val="000A7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4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4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4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4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4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4C6"/>
    <w:pPr>
      <w:spacing w:before="0" w:after="0"/>
    </w:pPr>
  </w:style>
  <w:style w:type="paragraph" w:customStyle="1" w:styleId="BodyTextBold">
    <w:name w:val="Body Text Bold"/>
    <w:basedOn w:val="BodyText"/>
    <w:qFormat/>
    <w:rsid w:val="000A74C6"/>
    <w:rPr>
      <w:b/>
    </w:rPr>
  </w:style>
  <w:style w:type="character" w:styleId="Hyperlink">
    <w:name w:val="Hyperlink"/>
    <w:basedOn w:val="DefaultParagraphFont"/>
    <w:uiPriority w:val="99"/>
    <w:unhideWhenUsed/>
    <w:rsid w:val="002334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2884</Characters>
  <Application>Microsoft Office Word</Application>
  <DocSecurity>0</DocSecurity>
  <Lines>62</Lines>
  <Paragraphs>38</Paragraphs>
  <ScaleCrop>false</ScaleCrop>
  <Company>Author-it Software Corporation Ltd.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MEM21004 Clean watch and clock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