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ABD" w:rsidP="007E0ABD">
      <w:pPr>
        <w:pStyle w:val="Title"/>
      </w:pPr>
      <w:r>
        <w:fldChar w:fldCharType="begin"/>
      </w:r>
      <w:r>
        <w:instrText xml:space="preserve"> TITLE   \* MERGEFORMAT </w:instrText>
      </w:r>
      <w:r>
        <w:fldChar w:fldCharType="separate"/>
      </w:r>
      <w:r>
        <w:t>MEM21003 Perform watch case servicing, repair and refurbishment</w:t>
      </w:r>
      <w:r>
        <w:fldChar w:fldCharType="end"/>
      </w:r>
    </w:p>
    <w:p w:rsidR="007E0ABD" w:rsidP="007E0ABD">
      <w:pPr>
        <w:pStyle w:val="Version"/>
        <w:sectPr w:rsidSect="00437B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B58" w:rsidP="00437B58">
      <w:pPr>
        <w:pStyle w:val="SuperHeading"/>
      </w:pPr>
      <w:r w:rsidRPr="00437B58">
        <w:t>MEM21003 Perf</w:t>
      </w:r>
      <w:r w:rsidRPr="00437B58">
        <w:t>orm watch case servicing, repair and refurbishment</w:t>
      </w:r>
    </w:p>
    <w:p w:rsidR="00000000" w:rsidRPr="00437B58" w:rsidP="00437B58">
      <w:pPr>
        <w:pStyle w:val="Heading1"/>
      </w:pPr>
      <w:bookmarkStart w:id="1" w:name="O_951160"/>
      <w:bookmarkEnd w:id="1"/>
      <w:r w:rsidRPr="00437B58">
        <w:t>Modification History</w:t>
      </w:r>
    </w:p>
    <w:p w:rsidR="00000000" w:rsidRPr="00437B58" w:rsidP="007E0ABD">
      <w:pPr>
        <w:pStyle w:val="BodyText"/>
      </w:pPr>
      <w:r w:rsidRPr="00437B58">
        <w:t xml:space="preserve">Release 1. Supersedes and is equivalent to MEM21003A Perform watch case servicing, repair and refurbishment </w:t>
      </w:r>
    </w:p>
    <w:p w:rsidR="00000000" w:rsidRPr="00437B58" w:rsidP="00437B58">
      <w:pPr>
        <w:pStyle w:val="Heading1"/>
      </w:pPr>
      <w:bookmarkStart w:id="2" w:name="O_951168"/>
      <w:bookmarkEnd w:id="2"/>
      <w:r w:rsidRPr="00437B58">
        <w:t>Application</w:t>
      </w:r>
    </w:p>
    <w:p w:rsidR="00000000" w:rsidRPr="00437B58" w:rsidP="007E0ABD">
      <w:pPr>
        <w:pStyle w:val="BodyText"/>
      </w:pPr>
      <w:r w:rsidRPr="00437B58">
        <w:t>This unit of competency defines the skills and knowledge to service and repair watch cases, including replacement techniques for auxiliary components. It includes refurbishment of watch cases and bands by polishing and graining and water-resistance testing</w:t>
      </w:r>
      <w:r w:rsidRPr="00437B58">
        <w:t xml:space="preserve"> methods and procedures.</w:t>
      </w:r>
    </w:p>
    <w:p w:rsidR="00000000" w:rsidRPr="00437B58" w:rsidP="007E0ABD">
      <w:pPr>
        <w:pStyle w:val="BodyText"/>
      </w:pPr>
      <w:r w:rsidRPr="00437B58">
        <w:t>No licensing, legislative or certification requirements apply to this unit at the time of publication.</w:t>
      </w:r>
    </w:p>
    <w:p w:rsidR="00000000" w:rsidRPr="00437B58" w:rsidP="007E0ABD">
      <w:pPr>
        <w:pStyle w:val="Heading3"/>
      </w:pPr>
      <w:r w:rsidRPr="00437B58">
        <w:rPr>
          <w:rStyle w:val="SpecialBold"/>
        </w:rPr>
        <w:t>Band:  A</w:t>
      </w:r>
    </w:p>
    <w:p w:rsidR="00000000" w:rsidRPr="00437B58" w:rsidP="007E0ABD">
      <w:pPr>
        <w:pStyle w:val="Heading3"/>
      </w:pPr>
      <w:r w:rsidRPr="00437B58">
        <w:rPr>
          <w:rStyle w:val="SpecialBold"/>
        </w:rPr>
        <w:t xml:space="preserve">Unit weight:  4 </w:t>
      </w:r>
    </w:p>
    <w:p w:rsidR="00000000" w:rsidRPr="00437B58" w:rsidP="00437B58">
      <w:pPr>
        <w:pStyle w:val="Heading1"/>
      </w:pPr>
      <w:bookmarkStart w:id="3" w:name="O_951167"/>
      <w:bookmarkEnd w:id="3"/>
      <w:r w:rsidRPr="00437B58">
        <w:t>Pre-requisite Unit</w:t>
      </w:r>
    </w:p>
    <w:tbl>
      <w:tblPr>
        <w:tblW w:w="0" w:type="auto"/>
        <w:tblLayout w:type="fixed"/>
        <w:tblCellMar>
          <w:left w:w="62" w:type="dxa"/>
          <w:right w:w="62" w:type="dxa"/>
        </w:tblCellMar>
        <w:tblLook w:val="0000"/>
      </w:tblPr>
      <w:tblGrid>
        <w:gridCol w:w="2186"/>
        <w:gridCol w:w="6886"/>
      </w:tblGrid>
      <w:tr w:rsidTr="00437B5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MEM13015</w:t>
            </w:r>
          </w:p>
        </w:tc>
        <w:tc>
          <w:tcPr>
            <w:tcW w:w="6886"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Work safely and effectively in manufacturing and engine</w:t>
            </w:r>
            <w:r w:rsidRPr="00437B58">
              <w:t>ering</w:t>
            </w:r>
          </w:p>
        </w:tc>
      </w:tr>
      <w:tr w:rsidTr="00437B5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MEM16006</w:t>
            </w:r>
          </w:p>
        </w:tc>
        <w:tc>
          <w:tcPr>
            <w:tcW w:w="6886"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Organise and communicate information</w:t>
            </w:r>
          </w:p>
        </w:tc>
      </w:tr>
      <w:tr w:rsidTr="00437B5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MEM21001</w:t>
            </w:r>
          </w:p>
        </w:tc>
        <w:tc>
          <w:tcPr>
            <w:tcW w:w="6886"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Replace watch batteries, capacitors and bands</w:t>
            </w:r>
          </w:p>
        </w:tc>
      </w:tr>
      <w:tr w:rsidTr="00437B5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MEM21002</w:t>
            </w:r>
          </w:p>
        </w:tc>
        <w:tc>
          <w:tcPr>
            <w:tcW w:w="6886" w:type="dxa"/>
            <w:tcBorders>
              <w:top w:val="nil"/>
              <w:left w:val="nil"/>
              <w:bottom w:val="nil"/>
              <w:right w:val="nil"/>
            </w:tcBorders>
            <w:tcMar>
              <w:top w:w="0" w:type="dxa"/>
              <w:left w:w="62" w:type="dxa"/>
              <w:bottom w:w="0" w:type="dxa"/>
              <w:right w:w="62" w:type="dxa"/>
            </w:tcMar>
          </w:tcPr>
          <w:p w:rsidR="00000000" w:rsidRPr="00437B58" w:rsidP="00437B58">
            <w:pPr>
              <w:pStyle w:val="BodyText"/>
            </w:pPr>
            <w:r w:rsidRPr="00437B58">
              <w:t>Perform watch movement exchange</w:t>
            </w:r>
          </w:p>
        </w:tc>
      </w:tr>
    </w:tbl>
    <w:p w:rsidR="00000000" w:rsidRPr="00437B58" w:rsidP="00437B58">
      <w:pPr>
        <w:pStyle w:val="BodyText"/>
      </w:pPr>
    </w:p>
    <w:p w:rsidR="00000000" w:rsidRPr="00437B58" w:rsidP="00437B58">
      <w:pPr>
        <w:pStyle w:val="AllowPageBreak"/>
      </w:pPr>
    </w:p>
    <w:p w:rsidR="00000000" w:rsidRPr="00437B58" w:rsidP="00437B58">
      <w:pPr>
        <w:pStyle w:val="Heading1"/>
      </w:pPr>
      <w:bookmarkStart w:id="4" w:name="O_951166"/>
      <w:bookmarkEnd w:id="4"/>
      <w:r w:rsidRPr="00437B58">
        <w:t>Competency Field</w:t>
      </w:r>
    </w:p>
    <w:p w:rsidR="00000000" w:rsidRPr="00437B58" w:rsidP="007E0ABD">
      <w:pPr>
        <w:pStyle w:val="BodyText"/>
      </w:pPr>
      <w:r w:rsidRPr="00437B58">
        <w:t>Horology</w:t>
      </w:r>
    </w:p>
    <w:p w:rsidR="00000000" w:rsidRPr="00437B58" w:rsidP="00437B58">
      <w:pPr>
        <w:pStyle w:val="Heading1"/>
      </w:pPr>
      <w:bookmarkStart w:id="5" w:name="O_951164"/>
      <w:bookmarkEnd w:id="5"/>
      <w:r w:rsidRPr="00437B5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37B5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Performance criteria describe the performance needed to demonstrate achievement of the element.</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37B58" w:rsidP="00437B58">
            <w:pPr>
              <w:pStyle w:val="BodyText"/>
            </w:pPr>
            <w:r w:rsidRPr="00437B58">
              <w:t>1</w:t>
            </w:r>
          </w:p>
        </w:tc>
        <w:tc>
          <w:tcPr>
            <w:tcW w:w="1986" w:type="dxa"/>
            <w:vMerge w:val="restart"/>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1.1</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Follow standard operating procedures (SOPs)</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1.2</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Comply with work health and safety (WHS) requirements at all times</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1.3</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Select and use appropriate personal protective equipment (PPE) in accordance with SOPs</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1.4</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 xml:space="preserve"> Identify job requirements from specifications, job sheets or work instructions</w:t>
            </w:r>
          </w:p>
        </w:tc>
      </w:tr>
      <w:tr w:rsidTr="00437B5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37B58">
            <w:pPr>
              <w:pStyle w:val="BodyText"/>
              <w:rPr>
                <w:lang w:val="en-NZ"/>
              </w:rPr>
            </w:pP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37B58" w:rsidP="00437B58">
            <w:pPr>
              <w:pStyle w:val="BodyText"/>
            </w:pPr>
            <w:r w:rsidRPr="00437B58">
              <w:t>2</w:t>
            </w:r>
          </w:p>
        </w:tc>
        <w:tc>
          <w:tcPr>
            <w:tcW w:w="1986" w:type="dxa"/>
            <w:vMerge w:val="restart"/>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Establish servicing requirements and liaise with customer</w:t>
            </w: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2.1</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Identify watch case type, functions, construction and components</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2.2</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Carry out pre-repair tests to verify water-resistance, as required</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2.3</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 xml:space="preserve">Prepare written quotation and inform customer </w:t>
            </w:r>
            <w:r w:rsidRPr="00437B58">
              <w:t xml:space="preserve">of watch case condition and outline recommended service procedures </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2.4</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Verify and agree on servicing requirements with customer</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2.5</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 xml:space="preserve">Prepare watch for handover </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2.6</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 xml:space="preserve">Record and document repair process </w:t>
            </w:r>
          </w:p>
        </w:tc>
      </w:tr>
      <w:tr w:rsidTr="00437B5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37B58">
            <w:pPr>
              <w:pStyle w:val="BodyText"/>
              <w:rPr>
                <w:lang w:val="en-NZ"/>
              </w:rPr>
            </w:pP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37B58" w:rsidP="00437B58">
            <w:pPr>
              <w:pStyle w:val="BodyText"/>
            </w:pPr>
            <w:r w:rsidRPr="00437B58">
              <w:t>3</w:t>
            </w:r>
          </w:p>
        </w:tc>
        <w:tc>
          <w:tcPr>
            <w:tcW w:w="1986" w:type="dxa"/>
            <w:vMerge w:val="restart"/>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Disassemble watch case and components for servicing</w:t>
            </w: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3.1</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Establish an appropriate clean and safe work environment</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3.2</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 xml:space="preserve">Open and close watch cases </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3.3</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Use hand tools and equipment in safe and correct manner</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3.4</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Remove watch case, sub-assemblies and components in correct sequence without damaging, marking or leaving fingerprints</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3.5</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Verify condition of case gaskets and replace, as required</w:t>
            </w:r>
          </w:p>
        </w:tc>
      </w:tr>
      <w:tr w:rsidTr="00437B5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37B58">
            <w:pPr>
              <w:pStyle w:val="BodyText"/>
              <w:rPr>
                <w:lang w:val="en-NZ"/>
              </w:rPr>
            </w:pP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37B58" w:rsidP="00437B58">
            <w:pPr>
              <w:pStyle w:val="BodyText"/>
            </w:pPr>
            <w:r w:rsidRPr="00437B58">
              <w:t>4</w:t>
            </w:r>
          </w:p>
        </w:tc>
        <w:tc>
          <w:tcPr>
            <w:tcW w:w="1986" w:type="dxa"/>
            <w:vMerge w:val="restart"/>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Repair and refurbish watch case, sub-assemblies and components</w:t>
            </w: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4.1</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Inspect condition of watch case, including case sub-assemblies and components</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4.2</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 xml:space="preserve">Replace faulty or damaged or worn watch case, sub-assemblies and components </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4.3</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Select appropriate media for polishing and graining case and band components</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4.4</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 xml:space="preserve">Set up and operate machines and equipment safely for polishing and graining </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4.5</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Select appropriate case and band cleaning methods</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4.6</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Inspect watch case for condition and cleanliness and rectify imperfections and faults</w:t>
            </w:r>
          </w:p>
        </w:tc>
      </w:tr>
      <w:tr w:rsidTr="00437B5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37B58">
            <w:pPr>
              <w:pStyle w:val="BodyText"/>
              <w:rPr>
                <w:lang w:val="en-NZ"/>
              </w:rPr>
            </w:pP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37B58" w:rsidP="00437B58">
            <w:pPr>
              <w:pStyle w:val="BodyText"/>
            </w:pPr>
            <w:r w:rsidRPr="00437B58">
              <w:t>5</w:t>
            </w:r>
          </w:p>
        </w:tc>
        <w:tc>
          <w:tcPr>
            <w:tcW w:w="1986" w:type="dxa"/>
            <w:vMerge w:val="restart"/>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Reassemble watch case, sub-assemblies and components</w:t>
            </w: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5.1</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Reassemble and fit watch case, sub-assemblies and components according to manufacturer specifications</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5.2</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Lubricate watch case, including case sub-assemblies and components and sub-assemblies acco</w:t>
            </w:r>
            <w:r w:rsidRPr="00437B58">
              <w:t xml:space="preserve">rding to manufacturer specifications </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5.3</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Verify security, functioning, and operation of watch case, sub-assemblies and components</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5.4</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Apply watch case assembly inspections and precautions</w:t>
            </w:r>
          </w:p>
        </w:tc>
      </w:tr>
      <w:tr w:rsidTr="00437B5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37B58">
            <w:pPr>
              <w:pStyle w:val="BodyText"/>
              <w:rPr>
                <w:lang w:val="en-NZ"/>
              </w:rPr>
            </w:pP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37B58" w:rsidP="00437B58">
            <w:pPr>
              <w:pStyle w:val="BodyText"/>
            </w:pPr>
            <w:r w:rsidRPr="00437B58">
              <w:t>6</w:t>
            </w:r>
          </w:p>
        </w:tc>
        <w:tc>
          <w:tcPr>
            <w:tcW w:w="1986" w:type="dxa"/>
            <w:vMerge w:val="restart"/>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Perform water-resistance testing for watch cases</w:t>
            </w: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6.1</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Verify and confirm water-resistance rating of watch case</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6.2</w:t>
            </w:r>
          </w:p>
        </w:tc>
        <w:tc>
          <w:tcPr>
            <w:tcW w:w="5678"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Identify, set up and operate equipment for water-resistance testing and interpret readings</w:t>
            </w:r>
          </w:p>
        </w:tc>
      </w:tr>
      <w:tr w:rsidTr="00437B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6.3</w:t>
            </w:r>
          </w:p>
        </w:tc>
        <w:tc>
          <w:tcPr>
            <w:tcW w:w="5678" w:type="dxa"/>
            <w:tcBorders>
              <w:top w:val="nil"/>
              <w:left w:val="nil"/>
              <w:bottom w:val="nil"/>
              <w:right w:val="nil"/>
            </w:tcBorders>
            <w:tcMar>
              <w:top w:w="0" w:type="dxa"/>
              <w:left w:w="62" w:type="dxa"/>
              <w:bottom w:w="0" w:type="dxa"/>
              <w:right w:w="62" w:type="dxa"/>
            </w:tcMar>
          </w:tcPr>
          <w:p w:rsidR="00000000" w:rsidRPr="00437B58" w:rsidP="00437B58">
            <w:pPr>
              <w:pStyle w:val="BodyText"/>
            </w:pPr>
            <w:r w:rsidRPr="00437B58">
              <w:t>Verify watch case performance and repair or replace components and gaskets, as required, to in</w:t>
            </w:r>
            <w:r w:rsidRPr="00437B58">
              <w:t>dustry standards</w:t>
            </w:r>
          </w:p>
        </w:tc>
      </w:tr>
    </w:tbl>
    <w:p w:rsidR="00000000" w:rsidRPr="00437B58" w:rsidP="00437B58">
      <w:pPr>
        <w:pStyle w:val="BodyText"/>
      </w:pPr>
    </w:p>
    <w:p w:rsidR="00000000" w:rsidRPr="00437B58" w:rsidP="00437B58">
      <w:pPr>
        <w:pStyle w:val="AllowPageBreak"/>
      </w:pPr>
    </w:p>
    <w:p w:rsidR="00000000" w:rsidRPr="00437B58" w:rsidP="00437B58">
      <w:pPr>
        <w:pStyle w:val="Heading1"/>
      </w:pPr>
      <w:bookmarkStart w:id="6" w:name="O_951163"/>
      <w:bookmarkEnd w:id="6"/>
      <w:r w:rsidRPr="00437B58">
        <w:t>Foundation Skills</w:t>
      </w:r>
    </w:p>
    <w:p w:rsidR="00000000" w:rsidRPr="00437B58" w:rsidP="007E0ABD">
      <w:pPr>
        <w:pStyle w:val="BodyText"/>
      </w:pPr>
      <w:r w:rsidRPr="00437B58">
        <w:t xml:space="preserve">This section describes those required skills (reading, writing, oral communication and numeracy) that are essential to workplace performance in this unit of competency.  </w:t>
      </w:r>
    </w:p>
    <w:p w:rsidR="00000000" w:rsidRPr="00437B58" w:rsidP="007E0ABD">
      <w:pPr>
        <w:pStyle w:val="BodyText"/>
      </w:pPr>
      <w:r w:rsidRPr="00437B58">
        <w:t xml:space="preserve">Foundation skills essential </w:t>
      </w:r>
      <w:r w:rsidRPr="00437B58">
        <w:t>to performance are explicit in the performance criteria of this unit of competency.</w:t>
      </w:r>
    </w:p>
    <w:p w:rsidR="00000000" w:rsidRPr="00437B58" w:rsidP="00437B58">
      <w:pPr>
        <w:pStyle w:val="Heading1"/>
      </w:pPr>
      <w:bookmarkStart w:id="7" w:name="O_951162"/>
      <w:bookmarkEnd w:id="7"/>
      <w:r w:rsidRPr="00437B58">
        <w:t>Range of Conditions</w:t>
      </w:r>
    </w:p>
    <w:tbl>
      <w:tblPr>
        <w:tblW w:w="0" w:type="auto"/>
        <w:tblLayout w:type="fixed"/>
        <w:tblCellMar>
          <w:left w:w="62" w:type="dxa"/>
          <w:right w:w="62" w:type="dxa"/>
        </w:tblCellMar>
        <w:tblLook w:val="0000"/>
      </w:tblPr>
      <w:tblGrid>
        <w:gridCol w:w="2641"/>
        <w:gridCol w:w="6501"/>
      </w:tblGrid>
      <w:tr w:rsidTr="00437B58">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t>This field allows for different work environments and conditions that may affect performance. Essential operating conditions that may b</w:t>
            </w:r>
            <w:r w:rsidRPr="00437B58">
              <w:t>e present (depending on the work situation, needs of the candidate, accessibility of the item, and local industry and regional contexts) are included.</w:t>
            </w:r>
          </w:p>
        </w:tc>
      </w:tr>
      <w:tr w:rsidTr="00437B58">
        <w:tblPrEx>
          <w:tblW w:w="0" w:type="auto"/>
          <w:tblLayout w:type="fixed"/>
          <w:tblCellMar>
            <w:left w:w="62" w:type="dxa"/>
            <w:right w:w="62" w:type="dxa"/>
          </w:tblCellMar>
          <w:tblLook w:val="0000"/>
        </w:tblPrEx>
        <w:trPr>
          <w:trHeight w:val="2837"/>
        </w:trPr>
        <w:tc>
          <w:tcPr>
            <w:tcW w:w="2641"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Watch case auxiliary 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37B58" w:rsidP="00437B58">
            <w:pPr>
              <w:pStyle w:val="ListBullet"/>
            </w:pPr>
            <w:r w:rsidRPr="00437B58">
              <w:t>watch glasses</w:t>
            </w:r>
          </w:p>
          <w:p w:rsidR="00000000" w:rsidRPr="00437B58" w:rsidP="00437B58">
            <w:pPr>
              <w:pStyle w:val="ListBullet"/>
            </w:pPr>
            <w:r w:rsidRPr="00437B58">
              <w:t>pendants</w:t>
            </w:r>
          </w:p>
          <w:p w:rsidR="00000000" w:rsidRPr="00437B58" w:rsidP="00437B58">
            <w:pPr>
              <w:pStyle w:val="ListBullet"/>
            </w:pPr>
            <w:r w:rsidRPr="00437B58">
              <w:t>pushb</w:t>
            </w:r>
            <w:r w:rsidRPr="00437B58">
              <w:t>uttons and correctors</w:t>
            </w:r>
          </w:p>
          <w:p w:rsidR="00000000" w:rsidRPr="00437B58" w:rsidP="00437B58">
            <w:pPr>
              <w:pStyle w:val="ListBullet"/>
            </w:pPr>
            <w:r w:rsidRPr="00437B58">
              <w:t>bezels</w:t>
            </w:r>
          </w:p>
          <w:p w:rsidR="00000000" w:rsidRPr="00437B58" w:rsidP="00437B58">
            <w:pPr>
              <w:pStyle w:val="ListBullet"/>
            </w:pPr>
            <w:r w:rsidRPr="00437B58">
              <w:t>case backs</w:t>
            </w:r>
          </w:p>
          <w:p w:rsidR="00000000" w:rsidRPr="00437B58" w:rsidP="00437B58">
            <w:pPr>
              <w:pStyle w:val="ListBullet"/>
            </w:pPr>
            <w:r w:rsidRPr="00437B58">
              <w:t>gaskets</w:t>
            </w:r>
          </w:p>
          <w:p w:rsidR="00000000" w:rsidRPr="00437B58" w:rsidP="00437B58">
            <w:pPr>
              <w:pStyle w:val="ListBullet"/>
            </w:pPr>
            <w:r w:rsidRPr="00437B58">
              <w:t>crowns and bands</w:t>
            </w:r>
          </w:p>
          <w:p w:rsidR="00000000" w:rsidP="00437B58">
            <w:pPr>
              <w:pStyle w:val="ListBullet"/>
              <w:rPr>
                <w:lang w:val="en-NZ"/>
              </w:rPr>
            </w:pPr>
            <w:r w:rsidRPr="00437B58">
              <w:t xml:space="preserve">straps or bracelets </w:t>
            </w:r>
          </w:p>
        </w:tc>
      </w:tr>
      <w:tr w:rsidTr="00437B58">
        <w:tblPrEx>
          <w:tblW w:w="0" w:type="auto"/>
          <w:tblLayout w:type="fixed"/>
          <w:tblCellMar>
            <w:left w:w="62" w:type="dxa"/>
            <w:right w:w="62" w:type="dxa"/>
          </w:tblCellMar>
          <w:tblLook w:val="0000"/>
        </w:tblPrEx>
        <w:trPr>
          <w:trHeight w:val="3093"/>
        </w:trPr>
        <w:tc>
          <w:tcPr>
            <w:tcW w:w="2641"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Watch case types include (1) one or more of the following:</w:t>
            </w:r>
          </w:p>
        </w:tc>
        <w:tc>
          <w:tcPr>
            <w:tcW w:w="6501" w:type="dxa"/>
            <w:tcBorders>
              <w:top w:val="nil"/>
              <w:left w:val="nil"/>
              <w:bottom w:val="nil"/>
              <w:right w:val="nil"/>
            </w:tcBorders>
            <w:tcMar>
              <w:top w:w="0" w:type="dxa"/>
              <w:left w:w="62" w:type="dxa"/>
              <w:bottom w:w="0" w:type="dxa"/>
              <w:right w:w="62" w:type="dxa"/>
            </w:tcMar>
          </w:tcPr>
          <w:p w:rsidR="00000000" w:rsidRPr="00437B58" w:rsidP="00437B58">
            <w:pPr>
              <w:pStyle w:val="ListBullet"/>
            </w:pPr>
            <w:r w:rsidRPr="00437B58">
              <w:t>pocket watch</w:t>
            </w:r>
          </w:p>
          <w:p w:rsidR="00000000" w:rsidRPr="00437B58" w:rsidP="00437B58">
            <w:pPr>
              <w:pStyle w:val="ListBullet"/>
            </w:pPr>
            <w:r w:rsidRPr="00437B58">
              <w:t>wrist watch</w:t>
            </w:r>
          </w:p>
          <w:p w:rsidR="00000000" w:rsidRPr="00437B58" w:rsidP="00437B58">
            <w:pPr>
              <w:pStyle w:val="ListBullet"/>
            </w:pPr>
            <w:r w:rsidRPr="00437B58">
              <w:t>ring watch</w:t>
            </w:r>
          </w:p>
          <w:p w:rsidR="00000000" w:rsidRPr="00437B58" w:rsidP="00437B58">
            <w:pPr>
              <w:pStyle w:val="ListBullet"/>
            </w:pPr>
            <w:r w:rsidRPr="00437B58">
              <w:t xml:space="preserve">necklace </w:t>
            </w:r>
          </w:p>
          <w:p w:rsidR="00000000" w:rsidRPr="00437B58" w:rsidP="00437B58">
            <w:pPr>
              <w:pStyle w:val="ListBullet"/>
            </w:pPr>
            <w:r w:rsidRPr="00437B58">
              <w:t>specialist watches</w:t>
            </w:r>
          </w:p>
          <w:p w:rsidR="00000000" w:rsidRPr="00437B58" w:rsidP="00437B58">
            <w:pPr>
              <w:pStyle w:val="ListBullet"/>
            </w:pPr>
            <w:r w:rsidRPr="00437B58">
              <w:t>non water-resistant (two piece case)</w:t>
            </w:r>
          </w:p>
          <w:p w:rsidR="00000000" w:rsidRPr="00437B58" w:rsidP="00437B58">
            <w:pPr>
              <w:pStyle w:val="ListBullet"/>
            </w:pPr>
            <w:r w:rsidRPr="00437B58">
              <w:t>non water-resistant (three piece case)</w:t>
            </w:r>
          </w:p>
          <w:p w:rsidR="00000000" w:rsidRPr="00437B58" w:rsidP="00437B58">
            <w:pPr>
              <w:pStyle w:val="ListBullet"/>
            </w:pPr>
            <w:r w:rsidRPr="00437B58">
              <w:t>water-resistant (two piece case)</w:t>
            </w:r>
          </w:p>
          <w:p w:rsidR="00000000" w:rsidP="00437B58">
            <w:pPr>
              <w:pStyle w:val="ListBullet"/>
              <w:rPr>
                <w:lang w:val="en-NZ"/>
              </w:rPr>
            </w:pPr>
            <w:r w:rsidRPr="00437B58">
              <w:t>monocoque (one piece case)</w:t>
            </w:r>
          </w:p>
        </w:tc>
      </w:tr>
      <w:tr w:rsidTr="00437B58">
        <w:tblPrEx>
          <w:tblW w:w="0" w:type="auto"/>
          <w:tblLayout w:type="fixed"/>
          <w:tblCellMar>
            <w:left w:w="62" w:type="dxa"/>
            <w:right w:w="62" w:type="dxa"/>
          </w:tblCellMar>
          <w:tblLook w:val="0000"/>
        </w:tblPrEx>
        <w:trPr>
          <w:trHeight w:val="1863"/>
        </w:trPr>
        <w:tc>
          <w:tcPr>
            <w:tcW w:w="2641"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Watch materials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37B58" w:rsidP="00437B58">
            <w:pPr>
              <w:pStyle w:val="ListBullet"/>
            </w:pPr>
            <w:r w:rsidRPr="00437B58">
              <w:t>precious metals</w:t>
            </w:r>
          </w:p>
          <w:p w:rsidR="00000000" w:rsidRPr="00437B58" w:rsidP="00437B58">
            <w:pPr>
              <w:pStyle w:val="ListBullet"/>
            </w:pPr>
            <w:r w:rsidRPr="00437B58">
              <w:t>stainless steel</w:t>
            </w:r>
          </w:p>
          <w:p w:rsidR="00000000" w:rsidRPr="00437B58" w:rsidP="00437B58">
            <w:pPr>
              <w:pStyle w:val="ListBullet"/>
            </w:pPr>
            <w:r w:rsidRPr="00437B58">
              <w:t>ceramic</w:t>
            </w:r>
          </w:p>
          <w:p w:rsidR="00000000" w:rsidRPr="00437B58" w:rsidP="00437B58">
            <w:pPr>
              <w:pStyle w:val="ListBullet"/>
            </w:pPr>
            <w:r w:rsidRPr="00437B58">
              <w:t xml:space="preserve">titanium </w:t>
            </w:r>
          </w:p>
          <w:p w:rsidR="00000000" w:rsidP="00437B58">
            <w:pPr>
              <w:pStyle w:val="ListBullet"/>
              <w:rPr>
                <w:lang w:val="en-NZ"/>
              </w:rPr>
            </w:pPr>
            <w:r w:rsidRPr="00437B58">
              <w:t>others</w:t>
            </w:r>
          </w:p>
        </w:tc>
      </w:tr>
      <w:tr w:rsidTr="00437B58">
        <w:tblPrEx>
          <w:tblW w:w="0" w:type="auto"/>
          <w:tblLayout w:type="fixed"/>
          <w:tblCellMar>
            <w:left w:w="62" w:type="dxa"/>
            <w:right w:w="62" w:type="dxa"/>
          </w:tblCellMar>
          <w:tblLook w:val="0000"/>
        </w:tblPrEx>
        <w:trPr>
          <w:trHeight w:val="2184"/>
        </w:trPr>
        <w:tc>
          <w:tcPr>
            <w:tcW w:w="2641"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Watch construction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37B58" w:rsidP="00437B58">
            <w:pPr>
              <w:pStyle w:val="ListBullet"/>
            </w:pPr>
            <w:r w:rsidRPr="00437B58">
              <w:t>case body</w:t>
            </w:r>
          </w:p>
          <w:p w:rsidR="00000000" w:rsidRPr="00437B58" w:rsidP="00437B58">
            <w:pPr>
              <w:pStyle w:val="ListBullet"/>
            </w:pPr>
            <w:r w:rsidRPr="00437B58">
              <w:t>bezel glass</w:t>
            </w:r>
          </w:p>
          <w:p w:rsidR="00000000" w:rsidRPr="00437B58" w:rsidP="00437B58">
            <w:pPr>
              <w:pStyle w:val="ListBullet"/>
            </w:pPr>
            <w:r w:rsidRPr="00437B58">
              <w:t>case back</w:t>
            </w:r>
          </w:p>
          <w:p w:rsidR="00000000" w:rsidRPr="00437B58" w:rsidP="00437B58">
            <w:pPr>
              <w:pStyle w:val="ListBullet"/>
            </w:pPr>
            <w:r w:rsidRPr="00437B58">
              <w:t>pushbutton</w:t>
            </w:r>
          </w:p>
          <w:p w:rsidR="00000000" w:rsidRPr="00437B58" w:rsidP="00437B58">
            <w:pPr>
              <w:pStyle w:val="ListBullet"/>
            </w:pPr>
            <w:r w:rsidRPr="00437B58">
              <w:t xml:space="preserve">case ring </w:t>
            </w:r>
          </w:p>
          <w:p w:rsidR="00000000" w:rsidP="00437B58">
            <w:pPr>
              <w:pStyle w:val="ListBullet"/>
              <w:rPr>
                <w:lang w:val="en-NZ"/>
              </w:rPr>
            </w:pPr>
            <w:r w:rsidRPr="00437B58">
              <w:t>gaskets</w:t>
            </w:r>
          </w:p>
        </w:tc>
      </w:tr>
      <w:tr w:rsidTr="00437B58">
        <w:tblPrEx>
          <w:tblW w:w="0" w:type="auto"/>
          <w:tblLayout w:type="fixed"/>
          <w:tblCellMar>
            <w:left w:w="62" w:type="dxa"/>
            <w:right w:w="62" w:type="dxa"/>
          </w:tblCellMar>
          <w:tblLook w:val="0000"/>
        </w:tblPrEx>
        <w:trPr>
          <w:trHeight w:val="1596"/>
        </w:trPr>
        <w:tc>
          <w:tcPr>
            <w:tcW w:w="2641"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Watch case/band condition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37B58" w:rsidP="00437B58">
            <w:pPr>
              <w:pStyle w:val="ListBullet"/>
            </w:pPr>
            <w:r w:rsidRPr="00437B58">
              <w:t>completeness</w:t>
            </w:r>
          </w:p>
          <w:p w:rsidR="00000000" w:rsidRPr="00437B58" w:rsidP="00437B58">
            <w:pPr>
              <w:pStyle w:val="ListBullet"/>
            </w:pPr>
            <w:r w:rsidRPr="00437B58">
              <w:t xml:space="preserve">scratches, dents and worn plating </w:t>
            </w:r>
          </w:p>
          <w:p w:rsidR="00000000" w:rsidRPr="00437B58" w:rsidP="00437B58">
            <w:pPr>
              <w:pStyle w:val="ListBullet"/>
            </w:pPr>
            <w:r w:rsidRPr="00437B58">
              <w:t>general wear and tear</w:t>
            </w:r>
          </w:p>
          <w:p w:rsidR="00000000" w:rsidP="00437B58">
            <w:pPr>
              <w:pStyle w:val="ListBullet"/>
              <w:rPr>
                <w:lang w:val="en-NZ"/>
              </w:rPr>
            </w:pPr>
            <w:r w:rsidRPr="00437B58">
              <w:t>water-resistance performance</w:t>
            </w:r>
          </w:p>
        </w:tc>
      </w:tr>
      <w:tr w:rsidTr="00437B58">
        <w:tblPrEx>
          <w:tblW w:w="0" w:type="auto"/>
          <w:tblLayout w:type="fixed"/>
          <w:tblCellMar>
            <w:left w:w="62" w:type="dxa"/>
            <w:right w:w="62" w:type="dxa"/>
          </w:tblCellMar>
          <w:tblLook w:val="0000"/>
        </w:tblPrEx>
        <w:trPr>
          <w:trHeight w:val="1553"/>
        </w:trPr>
        <w:tc>
          <w:tcPr>
            <w:tcW w:w="2641"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Recommended service procedures include the following:</w:t>
            </w:r>
          </w:p>
        </w:tc>
        <w:tc>
          <w:tcPr>
            <w:tcW w:w="6501" w:type="dxa"/>
            <w:tcBorders>
              <w:top w:val="nil"/>
              <w:left w:val="nil"/>
              <w:bottom w:val="nil"/>
              <w:right w:val="nil"/>
            </w:tcBorders>
            <w:tcMar>
              <w:top w:w="0" w:type="dxa"/>
              <w:left w:w="62" w:type="dxa"/>
              <w:bottom w:w="0" w:type="dxa"/>
              <w:right w:w="62" w:type="dxa"/>
            </w:tcMar>
          </w:tcPr>
          <w:p w:rsidR="00000000" w:rsidRPr="00437B58" w:rsidP="00437B58">
            <w:pPr>
              <w:pStyle w:val="ListBullet"/>
            </w:pPr>
            <w:r w:rsidRPr="00437B58">
              <w:t>replace worn or damaged components</w:t>
            </w:r>
          </w:p>
          <w:p w:rsidR="00000000" w:rsidRPr="00437B58" w:rsidP="00437B58">
            <w:pPr>
              <w:pStyle w:val="ListBullet"/>
            </w:pPr>
            <w:r w:rsidRPr="00437B58">
              <w:t xml:space="preserve">repair </w:t>
            </w:r>
          </w:p>
          <w:p w:rsidR="00000000" w:rsidRPr="00437B58" w:rsidP="00437B58">
            <w:pPr>
              <w:pStyle w:val="ListBullet"/>
            </w:pPr>
            <w:r w:rsidRPr="00437B58">
              <w:t>refurbish</w:t>
            </w:r>
          </w:p>
          <w:p w:rsidR="00000000" w:rsidP="00437B58">
            <w:pPr>
              <w:pStyle w:val="ListBullet"/>
              <w:rPr>
                <w:lang w:val="en-NZ"/>
              </w:rPr>
            </w:pPr>
            <w:r w:rsidRPr="00437B58">
              <w:t>case refurbishment to customer requirements</w:t>
            </w:r>
          </w:p>
        </w:tc>
      </w:tr>
      <w:tr w:rsidTr="00437B58">
        <w:tblPrEx>
          <w:tblW w:w="0" w:type="auto"/>
          <w:tblLayout w:type="fixed"/>
          <w:tblCellMar>
            <w:left w:w="62" w:type="dxa"/>
            <w:right w:w="62" w:type="dxa"/>
          </w:tblCellMar>
          <w:tblLook w:val="0000"/>
        </w:tblPrEx>
        <w:trPr>
          <w:trHeight w:val="1210"/>
        </w:trPr>
        <w:tc>
          <w:tcPr>
            <w:tcW w:w="2641"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Record and document repair includes the following:</w:t>
            </w:r>
          </w:p>
        </w:tc>
        <w:tc>
          <w:tcPr>
            <w:tcW w:w="6501" w:type="dxa"/>
            <w:tcBorders>
              <w:top w:val="nil"/>
              <w:left w:val="nil"/>
              <w:bottom w:val="nil"/>
              <w:right w:val="nil"/>
            </w:tcBorders>
            <w:tcMar>
              <w:top w:w="0" w:type="dxa"/>
              <w:left w:w="62" w:type="dxa"/>
              <w:bottom w:w="0" w:type="dxa"/>
              <w:right w:w="62" w:type="dxa"/>
            </w:tcMar>
          </w:tcPr>
          <w:p w:rsidR="00000000" w:rsidRPr="00437B58" w:rsidP="00437B58">
            <w:pPr>
              <w:pStyle w:val="ListBullet"/>
            </w:pPr>
            <w:r w:rsidRPr="00437B58">
              <w:t xml:space="preserve">extent and date of repair </w:t>
            </w:r>
          </w:p>
          <w:p w:rsidR="00000000" w:rsidRPr="00437B58" w:rsidP="00437B58">
            <w:pPr>
              <w:pStyle w:val="ListBullet"/>
            </w:pPr>
            <w:r w:rsidRPr="00437B58">
              <w:t>cost of replacement parts</w:t>
            </w:r>
          </w:p>
          <w:p w:rsidR="00000000" w:rsidP="00437B58">
            <w:pPr>
              <w:pStyle w:val="ListBullet"/>
              <w:rPr>
                <w:lang w:val="en-NZ"/>
              </w:rPr>
            </w:pPr>
            <w:r w:rsidRPr="00437B58">
              <w:t xml:space="preserve">time spent on procedure </w:t>
            </w:r>
          </w:p>
        </w:tc>
      </w:tr>
      <w:tr w:rsidTr="00437B58">
        <w:tblPrEx>
          <w:tblW w:w="0" w:type="auto"/>
          <w:tblLayout w:type="fixed"/>
          <w:tblCellMar>
            <w:left w:w="62" w:type="dxa"/>
            <w:right w:w="62" w:type="dxa"/>
          </w:tblCellMar>
          <w:tblLook w:val="0000"/>
        </w:tblPrEx>
        <w:trPr>
          <w:trHeight w:val="1874"/>
        </w:trPr>
        <w:tc>
          <w:tcPr>
            <w:tcW w:w="2641"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Appropriate working environment includes the following:</w:t>
            </w:r>
          </w:p>
        </w:tc>
        <w:tc>
          <w:tcPr>
            <w:tcW w:w="6501" w:type="dxa"/>
            <w:tcBorders>
              <w:top w:val="nil"/>
              <w:left w:val="nil"/>
              <w:bottom w:val="nil"/>
              <w:right w:val="nil"/>
            </w:tcBorders>
            <w:tcMar>
              <w:top w:w="0" w:type="dxa"/>
              <w:left w:w="62" w:type="dxa"/>
              <w:bottom w:w="0" w:type="dxa"/>
              <w:right w:w="62" w:type="dxa"/>
            </w:tcMar>
          </w:tcPr>
          <w:p w:rsidR="00000000" w:rsidRPr="00437B58" w:rsidP="00437B58">
            <w:pPr>
              <w:pStyle w:val="ListBullet"/>
            </w:pPr>
            <w:r w:rsidRPr="00437B58">
              <w:t>clean bench and working area</w:t>
            </w:r>
          </w:p>
          <w:p w:rsidR="00000000" w:rsidRPr="00437B58" w:rsidP="00437B58">
            <w:pPr>
              <w:pStyle w:val="ListBullet"/>
            </w:pPr>
            <w:r w:rsidRPr="00437B58">
              <w:t>adequate lighting and ventilation</w:t>
            </w:r>
          </w:p>
          <w:p w:rsidR="00000000" w:rsidRPr="00437B58" w:rsidP="00437B58">
            <w:pPr>
              <w:pStyle w:val="ListBullet"/>
            </w:pPr>
            <w:r w:rsidRPr="00437B58">
              <w:t>tools and equipment organised and in good condition</w:t>
            </w:r>
          </w:p>
          <w:p w:rsidR="00000000" w:rsidRPr="00437B58" w:rsidP="00437B58">
            <w:pPr>
              <w:pStyle w:val="ListBullet"/>
            </w:pPr>
            <w:r w:rsidRPr="00437B58">
              <w:t>ergonomic seating</w:t>
            </w:r>
          </w:p>
          <w:p w:rsidR="00000000" w:rsidP="00437B58">
            <w:pPr>
              <w:pStyle w:val="ListBullet"/>
              <w:rPr>
                <w:lang w:val="en-NZ"/>
              </w:rPr>
            </w:pPr>
            <w:r w:rsidRPr="00437B58">
              <w:t>dust extraction</w:t>
            </w:r>
          </w:p>
        </w:tc>
      </w:tr>
      <w:tr w:rsidTr="00437B58">
        <w:tblPrEx>
          <w:tblW w:w="0" w:type="auto"/>
          <w:tblLayout w:type="fixed"/>
          <w:tblCellMar>
            <w:left w:w="62" w:type="dxa"/>
            <w:right w:w="62" w:type="dxa"/>
          </w:tblCellMar>
          <w:tblLook w:val="0000"/>
        </w:tblPrEx>
        <w:trPr>
          <w:trHeight w:val="3211"/>
        </w:trPr>
        <w:tc>
          <w:tcPr>
            <w:tcW w:w="2641"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Case components and movement sub-assemblies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37B58" w:rsidP="00437B58">
            <w:pPr>
              <w:pStyle w:val="ListBullet"/>
            </w:pPr>
            <w:r w:rsidRPr="00437B58">
              <w:t>glass</w:t>
            </w:r>
          </w:p>
          <w:p w:rsidR="00000000" w:rsidRPr="00437B58" w:rsidP="00437B58">
            <w:pPr>
              <w:pStyle w:val="ListBullet"/>
            </w:pPr>
            <w:r w:rsidRPr="00437B58">
              <w:t>spring fit</w:t>
            </w:r>
          </w:p>
          <w:p w:rsidR="00000000" w:rsidRPr="00437B58" w:rsidP="00437B58">
            <w:pPr>
              <w:pStyle w:val="ListBullet"/>
            </w:pPr>
            <w:r w:rsidRPr="00437B58">
              <w:t>armoured</w:t>
            </w:r>
          </w:p>
          <w:p w:rsidR="00000000" w:rsidRPr="00437B58" w:rsidP="00437B58">
            <w:pPr>
              <w:pStyle w:val="ListBullet"/>
            </w:pPr>
            <w:r w:rsidRPr="00437B58">
              <w:t xml:space="preserve">mineral and sapphire </w:t>
            </w:r>
          </w:p>
          <w:p w:rsidR="00000000" w:rsidRPr="00437B58" w:rsidP="00437B58">
            <w:pPr>
              <w:pStyle w:val="ListBullet"/>
            </w:pPr>
            <w:r w:rsidRPr="00437B58">
              <w:t xml:space="preserve">bezel </w:t>
            </w:r>
          </w:p>
          <w:p w:rsidR="00000000" w:rsidRPr="00437B58" w:rsidP="00437B58">
            <w:pPr>
              <w:pStyle w:val="ListBullet"/>
            </w:pPr>
            <w:r w:rsidRPr="00437B58">
              <w:t>case back and gaskets</w:t>
            </w:r>
          </w:p>
          <w:p w:rsidR="00000000" w:rsidRPr="00437B58" w:rsidP="00437B58">
            <w:pPr>
              <w:pStyle w:val="ListBullet"/>
            </w:pPr>
            <w:r w:rsidRPr="00437B58">
              <w:t>crown</w:t>
            </w:r>
          </w:p>
          <w:p w:rsidR="00000000" w:rsidRPr="00437B58" w:rsidP="00437B58">
            <w:pPr>
              <w:pStyle w:val="ListBullet"/>
            </w:pPr>
            <w:r w:rsidRPr="00437B58">
              <w:t>pendant (friction fit or screwed)</w:t>
            </w:r>
          </w:p>
          <w:p w:rsidR="00000000" w:rsidP="00437B58">
            <w:pPr>
              <w:pStyle w:val="ListBullet"/>
              <w:rPr>
                <w:lang w:val="en-NZ"/>
              </w:rPr>
            </w:pPr>
            <w:r w:rsidRPr="00437B58">
              <w:t>gaskets</w:t>
            </w:r>
          </w:p>
        </w:tc>
      </w:tr>
      <w:tr w:rsidTr="00437B58">
        <w:tblPrEx>
          <w:tblW w:w="0" w:type="auto"/>
          <w:tblLayout w:type="fixed"/>
          <w:tblCellMar>
            <w:left w:w="62" w:type="dxa"/>
            <w:right w:w="62" w:type="dxa"/>
          </w:tblCellMar>
          <w:tblLook w:val="0000"/>
        </w:tblPrEx>
        <w:trPr>
          <w:trHeight w:val="1970"/>
        </w:trPr>
        <w:tc>
          <w:tcPr>
            <w:tcW w:w="2641"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Inspect condition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37B58" w:rsidP="00437B58">
            <w:pPr>
              <w:pStyle w:val="ListBullet"/>
            </w:pPr>
            <w:r w:rsidRPr="00437B58">
              <w:t>originality of components</w:t>
            </w:r>
          </w:p>
          <w:p w:rsidR="00000000" w:rsidRPr="00437B58" w:rsidP="00437B58">
            <w:pPr>
              <w:pStyle w:val="ListBullet"/>
            </w:pPr>
            <w:r w:rsidRPr="00437B58">
              <w:t>cleanliness</w:t>
            </w:r>
          </w:p>
          <w:p w:rsidR="00000000" w:rsidRPr="00437B58" w:rsidP="00437B58">
            <w:pPr>
              <w:pStyle w:val="ListBullet"/>
            </w:pPr>
            <w:r w:rsidRPr="00437B58">
              <w:t xml:space="preserve">wear </w:t>
            </w:r>
          </w:p>
          <w:p w:rsidR="00000000" w:rsidRPr="00437B58" w:rsidP="00437B58">
            <w:pPr>
              <w:pStyle w:val="ListBullet"/>
            </w:pPr>
            <w:r w:rsidRPr="00437B58">
              <w:t>damage</w:t>
            </w:r>
          </w:p>
          <w:p w:rsidR="00000000" w:rsidP="00437B58">
            <w:pPr>
              <w:pStyle w:val="ListBullet"/>
              <w:rPr>
                <w:lang w:val="en-NZ"/>
              </w:rPr>
            </w:pPr>
            <w:r w:rsidRPr="00437B58">
              <w:t>corrosion</w:t>
            </w:r>
          </w:p>
        </w:tc>
      </w:tr>
      <w:tr w:rsidTr="00437B58">
        <w:tblPrEx>
          <w:tblW w:w="0" w:type="auto"/>
          <w:tblLayout w:type="fixed"/>
          <w:tblCellMar>
            <w:left w:w="62" w:type="dxa"/>
            <w:right w:w="62" w:type="dxa"/>
          </w:tblCellMar>
          <w:tblLook w:val="0000"/>
        </w:tblPrEx>
        <w:trPr>
          <w:trHeight w:val="2580"/>
        </w:trPr>
        <w:tc>
          <w:tcPr>
            <w:tcW w:w="2641"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Watch case assembly inspections and precautions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37B58" w:rsidP="00437B58">
            <w:pPr>
              <w:pStyle w:val="ListBullet"/>
            </w:pPr>
            <w:r w:rsidRPr="00437B58">
              <w:t>use plastic protection whilst opening and closing</w:t>
            </w:r>
          </w:p>
          <w:p w:rsidR="00000000" w:rsidRPr="00437B58" w:rsidP="00437B58">
            <w:pPr>
              <w:pStyle w:val="ListBullet"/>
            </w:pPr>
            <w:r w:rsidRPr="00437B58">
              <w:t xml:space="preserve">alignment of components </w:t>
            </w:r>
          </w:p>
          <w:p w:rsidR="00000000" w:rsidRPr="00437B58" w:rsidP="00437B58">
            <w:pPr>
              <w:pStyle w:val="ListBullet"/>
            </w:pPr>
            <w:r w:rsidRPr="00437B58">
              <w:t xml:space="preserve">security of pendants </w:t>
            </w:r>
          </w:p>
          <w:p w:rsidR="00000000" w:rsidRPr="00437B58" w:rsidP="00437B58">
            <w:pPr>
              <w:pStyle w:val="ListBullet"/>
            </w:pPr>
            <w:r w:rsidRPr="00437B58">
              <w:t xml:space="preserve">pushbutton operation </w:t>
            </w:r>
          </w:p>
          <w:p w:rsidR="00000000" w:rsidRPr="00437B58" w:rsidP="00437B58">
            <w:pPr>
              <w:pStyle w:val="ListBullet"/>
            </w:pPr>
            <w:r w:rsidRPr="00437B58">
              <w:t>screw crowns and stem length</w:t>
            </w:r>
          </w:p>
          <w:p w:rsidR="00000000" w:rsidRPr="00437B58" w:rsidP="00437B58">
            <w:pPr>
              <w:pStyle w:val="ListBullet"/>
            </w:pPr>
            <w:r w:rsidRPr="00437B58">
              <w:t>damage to stem when securing crown</w:t>
            </w:r>
          </w:p>
          <w:p w:rsidR="00000000" w:rsidP="00437B58">
            <w:pPr>
              <w:pStyle w:val="ListBullet"/>
              <w:rPr>
                <w:lang w:val="en-NZ"/>
              </w:rPr>
            </w:pPr>
            <w:r w:rsidRPr="00437B58">
              <w:t>cleanliness</w:t>
            </w:r>
          </w:p>
        </w:tc>
      </w:tr>
      <w:tr w:rsidTr="00437B58">
        <w:tblPrEx>
          <w:tblW w:w="0" w:type="auto"/>
          <w:tblLayout w:type="fixed"/>
          <w:tblCellMar>
            <w:left w:w="62" w:type="dxa"/>
            <w:right w:w="62" w:type="dxa"/>
          </w:tblCellMar>
          <w:tblLook w:val="0000"/>
        </w:tblPrEx>
        <w:trPr>
          <w:trHeight w:val="1371"/>
        </w:trPr>
        <w:tc>
          <w:tcPr>
            <w:tcW w:w="2641"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Water-resistance rating includes one (1) or more of the foll</w:t>
            </w:r>
            <w:r w:rsidRPr="00437B58">
              <w:rPr>
                <w:rStyle w:val="SpecialBold"/>
              </w:rPr>
              <w:t>owing:</w:t>
            </w:r>
          </w:p>
        </w:tc>
        <w:tc>
          <w:tcPr>
            <w:tcW w:w="6501" w:type="dxa"/>
            <w:tcBorders>
              <w:top w:val="nil"/>
              <w:left w:val="nil"/>
              <w:bottom w:val="nil"/>
              <w:right w:val="nil"/>
            </w:tcBorders>
            <w:tcMar>
              <w:top w:w="0" w:type="dxa"/>
              <w:left w:w="62" w:type="dxa"/>
              <w:bottom w:w="0" w:type="dxa"/>
              <w:right w:w="62" w:type="dxa"/>
            </w:tcMar>
          </w:tcPr>
          <w:p w:rsidR="00000000" w:rsidRPr="00437B58" w:rsidP="00437B58">
            <w:pPr>
              <w:pStyle w:val="ListBullet"/>
            </w:pPr>
            <w:r w:rsidRPr="00437B58">
              <w:t>minimum standard of 20 metres, or additionally to 30 metres and 50 metres</w:t>
            </w:r>
          </w:p>
          <w:p w:rsidR="00000000" w:rsidP="00437B58">
            <w:pPr>
              <w:pStyle w:val="ListBullet"/>
              <w:rPr>
                <w:lang w:val="en-NZ"/>
              </w:rPr>
            </w:pPr>
            <w:r w:rsidRPr="00437B58">
              <w:t>minimum standards for divers watch of 100 metres or up to 3000 metres</w:t>
            </w:r>
          </w:p>
        </w:tc>
      </w:tr>
      <w:tr w:rsidTr="00437B58">
        <w:tblPrEx>
          <w:tblW w:w="0" w:type="auto"/>
          <w:tblLayout w:type="fixed"/>
          <w:tblCellMar>
            <w:left w:w="62" w:type="dxa"/>
            <w:right w:w="62" w:type="dxa"/>
          </w:tblCellMar>
          <w:tblLook w:val="0000"/>
        </w:tblPrEx>
        <w:trPr>
          <w:trHeight w:val="2205"/>
        </w:trPr>
        <w:tc>
          <w:tcPr>
            <w:tcW w:w="2641"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Methods to test water-resistance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37B58" w:rsidP="00437B58">
            <w:pPr>
              <w:pStyle w:val="ListBullet"/>
            </w:pPr>
            <w:r w:rsidRPr="00437B58">
              <w:t xml:space="preserve">vacuum </w:t>
            </w:r>
          </w:p>
          <w:p w:rsidR="00000000" w:rsidRPr="00437B58" w:rsidP="00437B58">
            <w:pPr>
              <w:pStyle w:val="ListBullet"/>
            </w:pPr>
            <w:r w:rsidRPr="00437B58">
              <w:t>over pressure</w:t>
            </w:r>
          </w:p>
          <w:p w:rsidR="00000000" w:rsidRPr="00437B58" w:rsidP="00437B58">
            <w:pPr>
              <w:pStyle w:val="ListBullet"/>
            </w:pPr>
            <w:r w:rsidRPr="00437B58">
              <w:t xml:space="preserve">combined test </w:t>
            </w:r>
          </w:p>
          <w:p w:rsidR="00000000" w:rsidRPr="00437B58" w:rsidP="00437B58">
            <w:pPr>
              <w:pStyle w:val="ListBullet"/>
            </w:pPr>
            <w:r w:rsidRPr="00437B58">
              <w:t>water immersion method</w:t>
            </w:r>
          </w:p>
          <w:p w:rsidR="00000000" w:rsidRPr="00437B58" w:rsidP="00437B58">
            <w:pPr>
              <w:pStyle w:val="ListBullet"/>
            </w:pPr>
            <w:r w:rsidRPr="00437B58">
              <w:t>air leak method</w:t>
            </w:r>
          </w:p>
          <w:p w:rsidR="00000000" w:rsidP="00437B58">
            <w:pPr>
              <w:pStyle w:val="ListBullet"/>
              <w:rPr>
                <w:lang w:val="en-NZ"/>
              </w:rPr>
            </w:pPr>
            <w:r w:rsidRPr="00437B58">
              <w:t xml:space="preserve">condensation test </w:t>
            </w:r>
          </w:p>
        </w:tc>
      </w:tr>
      <w:tr w:rsidTr="00437B58">
        <w:tblPrEx>
          <w:tblW w:w="0" w:type="auto"/>
          <w:tblLayout w:type="fixed"/>
          <w:tblCellMar>
            <w:left w:w="62" w:type="dxa"/>
            <w:right w:w="62" w:type="dxa"/>
          </w:tblCellMar>
          <w:tblLook w:val="0000"/>
        </w:tblPrEx>
        <w:trPr>
          <w:trHeight w:val="2205"/>
        </w:trPr>
        <w:tc>
          <w:tcPr>
            <w:tcW w:w="2641" w:type="dxa"/>
            <w:tcBorders>
              <w:top w:val="nil"/>
              <w:left w:val="nil"/>
              <w:bottom w:val="nil"/>
              <w:right w:val="nil"/>
            </w:tcBorders>
            <w:tcMar>
              <w:top w:w="0" w:type="dxa"/>
              <w:left w:w="62" w:type="dxa"/>
              <w:bottom w:w="0" w:type="dxa"/>
              <w:right w:w="62" w:type="dxa"/>
            </w:tcMar>
          </w:tcPr>
          <w:p w:rsidR="00000000" w:rsidP="00437B58">
            <w:pPr>
              <w:pStyle w:val="BodyText"/>
              <w:rPr>
                <w:lang w:val="en-NZ"/>
              </w:rPr>
            </w:pPr>
            <w:r w:rsidRPr="00437B58">
              <w:rPr>
                <w:rStyle w:val="SpecialBold"/>
              </w:rPr>
              <w:t>Hand tools and equipment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37B58" w:rsidP="00437B58">
            <w:pPr>
              <w:pStyle w:val="ListBullet"/>
            </w:pPr>
            <w:r w:rsidRPr="00437B58">
              <w:t xml:space="preserve">pin vices and case holders </w:t>
            </w:r>
          </w:p>
          <w:p w:rsidR="00000000" w:rsidRPr="00437B58" w:rsidP="00437B58">
            <w:pPr>
              <w:pStyle w:val="ListBullet"/>
            </w:pPr>
            <w:r w:rsidRPr="00437B58">
              <w:t>case opening and closing tools</w:t>
            </w:r>
          </w:p>
          <w:p w:rsidR="00000000" w:rsidRPr="00437B58" w:rsidP="00437B58">
            <w:pPr>
              <w:pStyle w:val="ListBullet"/>
            </w:pPr>
            <w:r w:rsidRPr="00437B58">
              <w:t>glass press and vigor tool</w:t>
            </w:r>
          </w:p>
          <w:p w:rsidR="00000000" w:rsidRPr="00437B58" w:rsidP="00437B58">
            <w:pPr>
              <w:pStyle w:val="ListBullet"/>
            </w:pPr>
            <w:r w:rsidRPr="00437B58">
              <w:t xml:space="preserve">adhesives </w:t>
            </w:r>
          </w:p>
          <w:p w:rsidR="00000000" w:rsidRPr="00437B58" w:rsidP="00437B58">
            <w:pPr>
              <w:pStyle w:val="ListBullet"/>
            </w:pPr>
            <w:r w:rsidRPr="00437B58">
              <w:t>polishing machines and various grades of buff wheels</w:t>
            </w:r>
          </w:p>
          <w:p w:rsidR="00000000" w:rsidRPr="00437B58" w:rsidP="00437B58">
            <w:pPr>
              <w:pStyle w:val="ListBullet"/>
            </w:pPr>
            <w:r w:rsidRPr="00437B58">
              <w:t>polishing and graining (3M media in various grades)</w:t>
            </w:r>
          </w:p>
        </w:tc>
      </w:tr>
    </w:tbl>
    <w:p w:rsidR="00000000" w:rsidRPr="00437B58" w:rsidP="00437B58">
      <w:pPr>
        <w:pStyle w:val="BodyText"/>
      </w:pPr>
    </w:p>
    <w:p w:rsidR="00000000" w:rsidRPr="00437B58" w:rsidP="00437B58">
      <w:pPr>
        <w:pStyle w:val="AllowPageBreak"/>
      </w:pPr>
    </w:p>
    <w:p w:rsidR="00000000" w:rsidRPr="00437B58" w:rsidP="00437B58">
      <w:pPr>
        <w:pStyle w:val="Heading1"/>
      </w:pPr>
      <w:bookmarkStart w:id="8" w:name="O_951161"/>
      <w:bookmarkEnd w:id="8"/>
      <w:r w:rsidRPr="00437B58">
        <w:t>Unit Mapping Information</w:t>
      </w:r>
    </w:p>
    <w:p w:rsidR="00000000" w:rsidRPr="00437B58" w:rsidP="007E0ABD">
      <w:pPr>
        <w:pStyle w:val="BodyText"/>
      </w:pPr>
      <w:r w:rsidRPr="00437B58">
        <w:t>Release 1. Supersedes and is equivalent to MEM21003A Perform watch case servicing, repair and refurbishment</w:t>
      </w:r>
      <w:r w:rsidRPr="00437B58">
        <w:t xml:space="preserve"> </w:t>
      </w:r>
    </w:p>
    <w:p w:rsidR="00000000" w:rsidRPr="00437B58" w:rsidP="00437B58">
      <w:pPr>
        <w:pStyle w:val="Heading1"/>
      </w:pPr>
      <w:bookmarkStart w:id="9" w:name="O_951154"/>
      <w:bookmarkEnd w:id="9"/>
      <w:r w:rsidRPr="00437B58">
        <w:t>Links</w:t>
      </w:r>
    </w:p>
    <w:p w:rsidR="00000000" w:rsidRPr="00437B58" w:rsidP="007E0ABD">
      <w:pPr>
        <w:pStyle w:val="BodyText"/>
      </w:pPr>
      <w:r w:rsidRPr="00437B5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16BDB">
        <w:rPr>
          <w:rStyle w:val="Hyperlink"/>
        </w:rPr>
        <w:t>https://vetnet.gov.au/Pages/TrainingDocs.aspx?q=b7050d37-5fd0-4740-8f7d-3b7a49c10bb2</w:t>
      </w:r>
      <w:r>
        <w:fldChar w:fldCharType="end"/>
      </w:r>
    </w:p>
    <w:p w:rsidR="00000000" w:rsidRPr="00437B58" w:rsidP="00437B58"/>
    <w:sectPr w:rsidSect="00437B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58" w:rsidRPr="007E0ABD" w:rsidP="007E0A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BD" w:rsidP="00437B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E0ABD" w:rsidP="00437B5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0ABD" w:rsidP="00437B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7B58" w:rsidRPr="007E0ABD" w:rsidP="007E0A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BD" w:rsidRPr="002D2AF8" w:rsidP="00437B58">
    <w:pPr>
      <w:pStyle w:val="Header"/>
      <w:framePr w:wrap="around"/>
    </w:pPr>
    <w:r>
      <w:fldChar w:fldCharType="begin"/>
    </w:r>
    <w:r>
      <w:instrText xml:space="preserve"> TITLE   \* MERGEFORMAT </w:instrText>
    </w:r>
    <w:r>
      <w:fldChar w:fldCharType="separate"/>
    </w:r>
    <w:r>
      <w:t>MEM21003 Perform watch case servicing, repair and refurbishment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E0ABD" w:rsidP="00437B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0EB1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2A09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B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B58"/>
    <w:pPr>
      <w:spacing w:before="360" w:after="60"/>
      <w:outlineLvl w:val="0"/>
    </w:pPr>
    <w:rPr>
      <w:sz w:val="32"/>
    </w:rPr>
  </w:style>
  <w:style w:type="paragraph" w:styleId="Heading2">
    <w:name w:val="heading 2"/>
    <w:basedOn w:val="HeadingBase"/>
    <w:next w:val="BodyText"/>
    <w:link w:val="Heading2Char"/>
    <w:qFormat/>
    <w:rsid w:val="00437B58"/>
    <w:pPr>
      <w:keepLines/>
      <w:spacing w:before="240" w:after="120"/>
      <w:outlineLvl w:val="1"/>
    </w:pPr>
    <w:rPr>
      <w:sz w:val="28"/>
      <w:szCs w:val="40"/>
    </w:rPr>
  </w:style>
  <w:style w:type="paragraph" w:styleId="Heading3">
    <w:name w:val="heading 3"/>
    <w:basedOn w:val="HeadingBase"/>
    <w:next w:val="BodyText"/>
    <w:link w:val="Heading3Char"/>
    <w:qFormat/>
    <w:rsid w:val="00437B58"/>
    <w:pPr>
      <w:spacing w:before="180" w:after="120"/>
      <w:outlineLvl w:val="2"/>
    </w:pPr>
    <w:rPr>
      <w:spacing w:val="-10"/>
      <w:kern w:val="32"/>
    </w:rPr>
  </w:style>
  <w:style w:type="paragraph" w:styleId="Heading4">
    <w:name w:val="heading 4"/>
    <w:basedOn w:val="HeadingBase"/>
    <w:next w:val="BodyText"/>
    <w:link w:val="Heading4Char"/>
    <w:qFormat/>
    <w:rsid w:val="00437B58"/>
    <w:pPr>
      <w:spacing w:before="160" w:after="120"/>
      <w:outlineLvl w:val="3"/>
    </w:pPr>
    <w:rPr>
      <w:sz w:val="22"/>
    </w:rPr>
  </w:style>
  <w:style w:type="paragraph" w:styleId="Heading5">
    <w:name w:val="heading 5"/>
    <w:basedOn w:val="HeadingBase"/>
    <w:next w:val="Normal"/>
    <w:link w:val="Heading5Char"/>
    <w:qFormat/>
    <w:rsid w:val="00437B58"/>
    <w:pPr>
      <w:spacing w:before="80"/>
      <w:outlineLvl w:val="4"/>
    </w:pPr>
    <w:rPr>
      <w:color w:val="918585"/>
      <w:sz w:val="20"/>
    </w:rPr>
  </w:style>
  <w:style w:type="paragraph" w:styleId="Heading6">
    <w:name w:val="heading 6"/>
    <w:basedOn w:val="HeadingBase"/>
    <w:next w:val="Normal"/>
    <w:link w:val="Heading6Char"/>
    <w:qFormat/>
    <w:rsid w:val="00437B58"/>
    <w:pPr>
      <w:spacing w:before="60"/>
      <w:outlineLvl w:val="5"/>
    </w:pPr>
    <w:rPr>
      <w:color w:val="918585"/>
      <w:sz w:val="20"/>
    </w:rPr>
  </w:style>
  <w:style w:type="paragraph" w:styleId="Heading7">
    <w:name w:val="heading 7"/>
    <w:basedOn w:val="Normal"/>
    <w:next w:val="Normal"/>
    <w:link w:val="Heading7Char"/>
    <w:qFormat/>
    <w:rsid w:val="00437B58"/>
    <w:pPr>
      <w:ind w:left="720"/>
      <w:outlineLvl w:val="6"/>
    </w:pPr>
    <w:rPr>
      <w:i/>
    </w:rPr>
  </w:style>
  <w:style w:type="paragraph" w:styleId="Heading8">
    <w:name w:val="heading 8"/>
    <w:basedOn w:val="Normal"/>
    <w:next w:val="Normal"/>
    <w:link w:val="Heading8Char"/>
    <w:qFormat/>
    <w:rsid w:val="00437B58"/>
    <w:pPr>
      <w:ind w:left="720"/>
      <w:outlineLvl w:val="7"/>
    </w:pPr>
    <w:rPr>
      <w:i/>
    </w:rPr>
  </w:style>
  <w:style w:type="paragraph" w:styleId="Heading9">
    <w:name w:val="heading 9"/>
    <w:basedOn w:val="Normal"/>
    <w:next w:val="Normal"/>
    <w:link w:val="Heading9Char"/>
    <w:qFormat/>
    <w:rsid w:val="00437B58"/>
    <w:pPr>
      <w:ind w:left="720"/>
      <w:outlineLvl w:val="8"/>
    </w:pPr>
    <w:rPr>
      <w:i/>
    </w:rPr>
  </w:style>
  <w:style w:type="character" w:default="1" w:styleId="DefaultParagraphFont">
    <w:name w:val="Default Paragraph Font"/>
    <w:uiPriority w:val="1"/>
    <w:unhideWhenUsed/>
    <w:rsid w:val="00437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B58"/>
  </w:style>
  <w:style w:type="character" w:customStyle="1" w:styleId="Heading1Char">
    <w:name w:val="Heading 1 Char"/>
    <w:basedOn w:val="DefaultParagraphFont"/>
    <w:link w:val="Heading1"/>
    <w:rsid w:val="00437B58"/>
    <w:rPr>
      <w:rFonts w:ascii="Times New Roman" w:eastAsia="Times New Roman" w:hAnsi="Times New Roman" w:cs="Times New Roman"/>
      <w:b/>
      <w:sz w:val="32"/>
      <w:szCs w:val="20"/>
      <w:lang w:eastAsia="en-US"/>
    </w:rPr>
  </w:style>
  <w:style w:type="paragraph" w:styleId="BodyText">
    <w:name w:val="Body Text"/>
    <w:basedOn w:val="Normal"/>
    <w:link w:val="BodyTextChar"/>
    <w:rsid w:val="00437B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7B58"/>
    <w:rPr>
      <w:rFonts w:ascii="Times New Roman" w:eastAsia="Times New Roman" w:hAnsi="Times New Roman" w:cs="Times New Roman"/>
      <w:sz w:val="24"/>
      <w:lang w:eastAsia="en-US"/>
    </w:rPr>
  </w:style>
  <w:style w:type="paragraph" w:styleId="ListBullet">
    <w:name w:val="List Bullet"/>
    <w:basedOn w:val="List"/>
    <w:rsid w:val="00437B58"/>
    <w:pPr>
      <w:numPr>
        <w:numId w:val="11"/>
      </w:numPr>
      <w:tabs>
        <w:tab w:val="clear" w:pos="340"/>
      </w:tabs>
      <w:spacing w:before="40" w:after="40"/>
    </w:pPr>
  </w:style>
  <w:style w:type="character" w:customStyle="1" w:styleId="SpecialBold">
    <w:name w:val="Special Bold"/>
    <w:basedOn w:val="DefaultParagraphFont"/>
    <w:rsid w:val="00437B58"/>
    <w:rPr>
      <w:b/>
      <w:spacing w:val="0"/>
    </w:rPr>
  </w:style>
  <w:style w:type="paragraph" w:customStyle="1" w:styleId="SuperHeading">
    <w:name w:val="SuperHeading"/>
    <w:basedOn w:val="Normal"/>
    <w:rsid w:val="00437B58"/>
    <w:pPr>
      <w:spacing w:before="240" w:after="120"/>
      <w:outlineLvl w:val="0"/>
    </w:pPr>
    <w:rPr>
      <w:rFonts w:ascii="Times New Roman" w:hAnsi="Times New Roman"/>
      <w:b/>
      <w:sz w:val="32"/>
    </w:rPr>
  </w:style>
  <w:style w:type="paragraph" w:customStyle="1" w:styleId="AllowPageBreak">
    <w:name w:val="AllowPageBreak"/>
    <w:rsid w:val="00437B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7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B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B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B58"/>
    <w:rPr>
      <w:rFonts w:ascii="Courier New" w:eastAsia="Times New Roman" w:hAnsi="Courier New" w:cs="Times New Roman"/>
      <w:i/>
      <w:szCs w:val="20"/>
      <w:lang w:eastAsia="en-US"/>
    </w:rPr>
  </w:style>
  <w:style w:type="paragraph" w:customStyle="1" w:styleId="HeadingBase">
    <w:name w:val="Heading Base"/>
    <w:rsid w:val="00437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B58"/>
    <w:pPr>
      <w:tabs>
        <w:tab w:val="right" w:leader="dot" w:pos="9072"/>
      </w:tabs>
      <w:ind w:left="567"/>
    </w:pPr>
    <w:rPr>
      <w:szCs w:val="22"/>
    </w:rPr>
  </w:style>
  <w:style w:type="paragraph" w:customStyle="1" w:styleId="TOCBase">
    <w:name w:val="TOC Base"/>
    <w:rsid w:val="00437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B58"/>
    <w:pPr>
      <w:tabs>
        <w:tab w:val="right" w:leader="dot" w:pos="9072"/>
      </w:tabs>
      <w:spacing w:before="40" w:after="40"/>
      <w:ind w:left="284"/>
    </w:pPr>
    <w:rPr>
      <w:rFonts w:ascii="Times New Roman" w:hAnsi="Times New Roman"/>
    </w:rPr>
  </w:style>
  <w:style w:type="paragraph" w:styleId="TOC1">
    <w:name w:val="toc 1"/>
    <w:basedOn w:val="TOCBase"/>
    <w:next w:val="Normal"/>
    <w:rsid w:val="00437B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B58"/>
    <w:rPr>
      <w:rFonts w:ascii="Times New Roman" w:eastAsia="Times New Roman" w:hAnsi="Times New Roman" w:cs="Times New Roman"/>
      <w:sz w:val="16"/>
      <w:lang w:eastAsia="en-US"/>
    </w:rPr>
  </w:style>
  <w:style w:type="paragraph" w:styleId="Title">
    <w:name w:val="Title"/>
    <w:basedOn w:val="HeadingBase"/>
    <w:link w:val="TitleChar"/>
    <w:qFormat/>
    <w:rsid w:val="00437B58"/>
    <w:pPr>
      <w:spacing w:before="5040"/>
      <w:jc w:val="center"/>
    </w:pPr>
    <w:rPr>
      <w:sz w:val="48"/>
      <w:szCs w:val="72"/>
      <w:lang w:val="en-US"/>
    </w:rPr>
  </w:style>
  <w:style w:type="character" w:customStyle="1" w:styleId="TitleChar">
    <w:name w:val="Title Char"/>
    <w:basedOn w:val="DefaultParagraphFont"/>
    <w:link w:val="Title"/>
    <w:rsid w:val="00437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B58"/>
    <w:pPr>
      <w:tabs>
        <w:tab w:val="left" w:pos="3600"/>
        <w:tab w:val="left" w:pos="3958"/>
      </w:tabs>
    </w:pPr>
  </w:style>
  <w:style w:type="paragraph" w:styleId="List">
    <w:name w:val="List"/>
    <w:basedOn w:val="BodyText"/>
    <w:next w:val="BodyText"/>
    <w:rsid w:val="00437B58"/>
    <w:pPr>
      <w:tabs>
        <w:tab w:val="left" w:pos="340"/>
      </w:tabs>
      <w:spacing w:before="60" w:after="60"/>
      <w:ind w:left="340" w:hanging="340"/>
    </w:pPr>
  </w:style>
  <w:style w:type="paragraph" w:customStyle="1" w:styleId="Note">
    <w:name w:val="Note"/>
    <w:basedOn w:val="BodyText"/>
    <w:rsid w:val="00437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B58"/>
    <w:pPr>
      <w:framePr w:wrap="auto" w:hAnchor="text" w:y="6049"/>
    </w:pPr>
    <w:rPr>
      <w:color w:val="000000"/>
      <w:sz w:val="40"/>
    </w:rPr>
  </w:style>
  <w:style w:type="paragraph" w:customStyle="1" w:styleId="TOCTitle">
    <w:name w:val="TOCTitle"/>
    <w:basedOn w:val="Heading1"/>
    <w:rsid w:val="00437B58"/>
    <w:pPr>
      <w:spacing w:after="240"/>
      <w:jc w:val="center"/>
      <w:outlineLvl w:val="9"/>
    </w:pPr>
    <w:rPr>
      <w:caps/>
    </w:rPr>
  </w:style>
  <w:style w:type="paragraph" w:customStyle="1" w:styleId="Version">
    <w:name w:val="Version"/>
    <w:rsid w:val="00437B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B58"/>
    <w:pPr>
      <w:numPr>
        <w:numId w:val="12"/>
      </w:numPr>
      <w:tabs>
        <w:tab w:val="clear" w:pos="680"/>
      </w:tabs>
    </w:pPr>
  </w:style>
  <w:style w:type="paragraph" w:styleId="Index1">
    <w:name w:val="index 1"/>
    <w:basedOn w:val="Normal"/>
    <w:next w:val="Normal"/>
    <w:semiHidden/>
    <w:rsid w:val="00437B58"/>
    <w:pPr>
      <w:keepNext w:val="0"/>
      <w:tabs>
        <w:tab w:val="right" w:pos="4176"/>
      </w:tabs>
      <w:ind w:left="198" w:hanging="198"/>
    </w:pPr>
    <w:rPr>
      <w:rFonts w:ascii="Garamond" w:hAnsi="Garamond"/>
    </w:rPr>
  </w:style>
  <w:style w:type="paragraph" w:styleId="IndexHeading">
    <w:name w:val="index heading"/>
    <w:basedOn w:val="Normal"/>
    <w:next w:val="Index1"/>
    <w:semiHidden/>
    <w:rsid w:val="00437B58"/>
    <w:pPr>
      <w:spacing w:before="120" w:after="120"/>
    </w:pPr>
    <w:rPr>
      <w:rFonts w:ascii="Arial" w:hAnsi="Arial"/>
      <w:b/>
      <w:color w:val="918585"/>
      <w:sz w:val="24"/>
    </w:rPr>
  </w:style>
  <w:style w:type="paragraph" w:styleId="Header">
    <w:name w:val="header"/>
    <w:basedOn w:val="Normal"/>
    <w:link w:val="HeaderChar"/>
    <w:rsid w:val="00437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B58"/>
    <w:rPr>
      <w:rFonts w:ascii="Times New Roman" w:eastAsia="Times New Roman" w:hAnsi="Times New Roman" w:cs="Times New Roman"/>
      <w:sz w:val="16"/>
      <w:szCs w:val="20"/>
      <w:lang w:val="en-GB" w:eastAsia="en-US"/>
    </w:rPr>
  </w:style>
  <w:style w:type="paragraph" w:customStyle="1" w:styleId="Chapter">
    <w:name w:val="Chapter"/>
    <w:basedOn w:val="Normal"/>
    <w:rsid w:val="00437B58"/>
    <w:pPr>
      <w:spacing w:before="240"/>
    </w:pPr>
    <w:rPr>
      <w:rFonts w:ascii="Times New Roman" w:hAnsi="Times New Roman"/>
      <w:smallCaps/>
      <w:spacing w:val="80"/>
      <w:sz w:val="28"/>
    </w:rPr>
  </w:style>
  <w:style w:type="paragraph" w:customStyle="1" w:styleId="InChapter">
    <w:name w:val="InChapter"/>
    <w:basedOn w:val="Heading3"/>
    <w:rsid w:val="00437B58"/>
    <w:pPr>
      <w:spacing w:after="240"/>
      <w:outlineLvl w:val="9"/>
    </w:pPr>
    <w:rPr>
      <w:noProof/>
    </w:rPr>
  </w:style>
  <w:style w:type="paragraph" w:styleId="Index2">
    <w:name w:val="index 2"/>
    <w:basedOn w:val="Normal"/>
    <w:next w:val="Normal"/>
    <w:semiHidden/>
    <w:rsid w:val="00437B58"/>
    <w:pPr>
      <w:tabs>
        <w:tab w:val="right" w:pos="4176"/>
      </w:tabs>
      <w:ind w:left="568" w:hanging="284"/>
    </w:pPr>
    <w:rPr>
      <w:rFonts w:ascii="Garamond" w:hAnsi="Garamond"/>
    </w:rPr>
  </w:style>
  <w:style w:type="paragraph" w:customStyle="1" w:styleId="Byline">
    <w:name w:val="Byline"/>
    <w:rsid w:val="00437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B58"/>
    <w:pPr>
      <w:tabs>
        <w:tab w:val="clear" w:pos="3600"/>
        <w:tab w:val="clear" w:pos="3958"/>
      </w:tabs>
      <w:jc w:val="right"/>
    </w:pPr>
  </w:style>
  <w:style w:type="character" w:styleId="Emphasis">
    <w:name w:val="Emphasis"/>
    <w:basedOn w:val="DefaultParagraphFont"/>
    <w:qFormat/>
    <w:rsid w:val="00437B58"/>
    <w:rPr>
      <w:i/>
    </w:rPr>
  </w:style>
  <w:style w:type="paragraph" w:styleId="Caption">
    <w:name w:val="caption"/>
    <w:basedOn w:val="BodyText"/>
    <w:next w:val="Normal"/>
    <w:qFormat/>
    <w:rsid w:val="00437B58"/>
    <w:pPr>
      <w:framePr w:w="2268" w:hSpace="181" w:vSpace="181" w:wrap="around" w:vAnchor="text" w:hAnchor="page" w:x="1135" w:y="285" w:anchorLock="1"/>
    </w:pPr>
    <w:rPr>
      <w:i/>
    </w:rPr>
  </w:style>
  <w:style w:type="paragraph" w:customStyle="1" w:styleId="MiniTOCTitle">
    <w:name w:val="MiniTOCTitle"/>
    <w:basedOn w:val="Heading4"/>
    <w:rsid w:val="00437B58"/>
    <w:pPr>
      <w:spacing w:before="240"/>
      <w:outlineLvl w:val="9"/>
    </w:pPr>
    <w:rPr>
      <w:noProof/>
      <w:sz w:val="24"/>
    </w:rPr>
  </w:style>
  <w:style w:type="paragraph" w:customStyle="1" w:styleId="MiniTOCItem">
    <w:name w:val="MiniTOCItem"/>
    <w:basedOn w:val="ListBullet"/>
    <w:rsid w:val="00437B58"/>
    <w:pPr>
      <w:numPr>
        <w:numId w:val="0"/>
      </w:numPr>
      <w:tabs>
        <w:tab w:val="right" w:leader="dot" w:pos="6521"/>
      </w:tabs>
      <w:spacing w:before="0" w:after="0"/>
    </w:pPr>
  </w:style>
  <w:style w:type="paragraph" w:customStyle="1" w:styleId="TOFTitle">
    <w:name w:val="TOFTitle"/>
    <w:basedOn w:val="TOCTitle"/>
    <w:rsid w:val="00437B58"/>
  </w:style>
  <w:style w:type="paragraph" w:styleId="TableofFigures">
    <w:name w:val="table of figures"/>
    <w:basedOn w:val="Normal"/>
    <w:next w:val="Normal"/>
    <w:semiHidden/>
    <w:rsid w:val="00437B58"/>
    <w:pPr>
      <w:tabs>
        <w:tab w:val="right" w:leader="dot" w:pos="9072"/>
      </w:tabs>
      <w:ind w:left="970" w:hanging="403"/>
    </w:pPr>
    <w:rPr>
      <w:rFonts w:ascii="Times New Roman" w:hAnsi="Times New Roman"/>
      <w:b/>
    </w:rPr>
  </w:style>
  <w:style w:type="paragraph" w:styleId="ListNumber">
    <w:name w:val="List Number"/>
    <w:basedOn w:val="List"/>
    <w:rsid w:val="00437B58"/>
    <w:pPr>
      <w:numPr>
        <w:numId w:val="14"/>
      </w:numPr>
      <w:tabs>
        <w:tab w:val="clear" w:pos="340"/>
      </w:tabs>
    </w:pPr>
  </w:style>
  <w:style w:type="character" w:customStyle="1" w:styleId="WingdingSymbols">
    <w:name w:val="Wingding Symbols"/>
    <w:rsid w:val="00437B58"/>
    <w:rPr>
      <w:rFonts w:ascii="Wingdings" w:hAnsi="Wingdings"/>
    </w:rPr>
  </w:style>
  <w:style w:type="paragraph" w:customStyle="1" w:styleId="TableHeading">
    <w:name w:val="Table Heading"/>
    <w:basedOn w:val="HeadingBase"/>
    <w:rsid w:val="00437B58"/>
    <w:pPr>
      <w:keepLines/>
      <w:pBdr>
        <w:bottom w:val="single" w:sz="6" w:space="1" w:color="918585"/>
      </w:pBdr>
      <w:spacing w:before="240"/>
    </w:pPr>
  </w:style>
  <w:style w:type="character" w:customStyle="1" w:styleId="HotSpot">
    <w:name w:val="HotSpot"/>
    <w:rsid w:val="00437B58"/>
    <w:rPr>
      <w:color w:val="0033CC"/>
      <w:u w:val="none"/>
    </w:rPr>
  </w:style>
  <w:style w:type="paragraph" w:customStyle="1" w:styleId="BodyTextRight">
    <w:name w:val="Body Text Right"/>
    <w:basedOn w:val="BodyText"/>
    <w:rsid w:val="00437B58"/>
    <w:pPr>
      <w:spacing w:before="0" w:after="0"/>
      <w:jc w:val="right"/>
    </w:pPr>
  </w:style>
  <w:style w:type="paragraph" w:styleId="Index3">
    <w:name w:val="index 3"/>
    <w:basedOn w:val="ListNumber2"/>
    <w:next w:val="Normal"/>
    <w:semiHidden/>
    <w:rsid w:val="00437B58"/>
    <w:pPr>
      <w:numPr>
        <w:numId w:val="0"/>
      </w:numPr>
      <w:tabs>
        <w:tab w:val="right" w:leader="dot" w:pos="4176"/>
      </w:tabs>
    </w:pPr>
  </w:style>
  <w:style w:type="paragraph" w:styleId="ListNumber2">
    <w:name w:val="List Number 2"/>
    <w:basedOn w:val="List2"/>
    <w:rsid w:val="00437B58"/>
    <w:pPr>
      <w:numPr>
        <w:numId w:val="9"/>
      </w:numPr>
      <w:tabs>
        <w:tab w:val="clear" w:pos="1060"/>
      </w:tabs>
    </w:pPr>
  </w:style>
  <w:style w:type="paragraph" w:customStyle="1" w:styleId="MarginNote">
    <w:name w:val="Margin Note"/>
    <w:basedOn w:val="BodyText"/>
    <w:rsid w:val="00437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B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B58"/>
    <w:rPr>
      <w:sz w:val="32"/>
    </w:rPr>
  </w:style>
  <w:style w:type="paragraph" w:customStyle="1" w:styleId="HeadingProcedure">
    <w:name w:val="Heading Procedure"/>
    <w:basedOn w:val="HeadingBase"/>
    <w:next w:val="Normal"/>
    <w:rsid w:val="00437B58"/>
    <w:pPr>
      <w:tabs>
        <w:tab w:val="left" w:pos="0"/>
      </w:tabs>
      <w:spacing w:before="120" w:after="60"/>
    </w:pPr>
    <w:rPr>
      <w:i/>
      <w:color w:val="918585"/>
      <w:sz w:val="22"/>
    </w:rPr>
  </w:style>
  <w:style w:type="paragraph" w:customStyle="1" w:styleId="TableBodyText">
    <w:name w:val="Table Body Text"/>
    <w:basedOn w:val="BodyText"/>
    <w:rsid w:val="00437B58"/>
    <w:pPr>
      <w:spacing w:before="60" w:after="60"/>
    </w:pPr>
  </w:style>
  <w:style w:type="paragraph" w:styleId="ListContinue">
    <w:name w:val="List Continue"/>
    <w:basedOn w:val="List"/>
    <w:rsid w:val="00437B58"/>
    <w:pPr>
      <w:ind w:firstLine="0"/>
    </w:pPr>
  </w:style>
  <w:style w:type="paragraph" w:customStyle="1" w:styleId="ListNote">
    <w:name w:val="List Note"/>
    <w:basedOn w:val="List"/>
    <w:rsid w:val="00437B58"/>
    <w:pPr>
      <w:pBdr>
        <w:top w:val="single" w:sz="6" w:space="2" w:color="918585"/>
        <w:bottom w:val="single" w:sz="6" w:space="2" w:color="918585"/>
      </w:pBdr>
      <w:tabs>
        <w:tab w:val="left" w:pos="1021"/>
      </w:tabs>
      <w:ind w:firstLine="0"/>
    </w:pPr>
  </w:style>
  <w:style w:type="paragraph" w:customStyle="1" w:styleId="Warning">
    <w:name w:val="Warning"/>
    <w:basedOn w:val="BodyText"/>
    <w:rsid w:val="00437B58"/>
    <w:pPr>
      <w:shd w:val="clear" w:color="auto" w:fill="D9D9D9"/>
      <w:tabs>
        <w:tab w:val="left" w:pos="992"/>
      </w:tabs>
      <w:ind w:left="119" w:right="119"/>
    </w:pPr>
    <w:rPr>
      <w:sz w:val="20"/>
    </w:rPr>
  </w:style>
  <w:style w:type="paragraph" w:customStyle="1" w:styleId="MarginIcons">
    <w:name w:val="Margin Icons"/>
    <w:basedOn w:val="BodyText"/>
    <w:rsid w:val="00437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B58"/>
    <w:rPr>
      <w:rFonts w:ascii="Courier New" w:hAnsi="Courier New"/>
    </w:rPr>
  </w:style>
  <w:style w:type="paragraph" w:customStyle="1" w:styleId="NoteBullet">
    <w:name w:val="Note Bullet"/>
    <w:basedOn w:val="Note"/>
    <w:rsid w:val="00437B58"/>
    <w:pPr>
      <w:tabs>
        <w:tab w:val="clear" w:pos="680"/>
      </w:tabs>
      <w:spacing w:before="60" w:after="60"/>
    </w:pPr>
  </w:style>
  <w:style w:type="paragraph" w:customStyle="1" w:styleId="SubHeading2">
    <w:name w:val="SubHeading2"/>
    <w:basedOn w:val="HeadingBase"/>
    <w:rsid w:val="00437B58"/>
    <w:pPr>
      <w:spacing w:before="240" w:after="60"/>
    </w:pPr>
    <w:rPr>
      <w:sz w:val="20"/>
    </w:rPr>
  </w:style>
  <w:style w:type="paragraph" w:customStyle="1" w:styleId="SubHeading1">
    <w:name w:val="SubHeading1"/>
    <w:basedOn w:val="HeadingBase"/>
    <w:rsid w:val="00437B58"/>
    <w:pPr>
      <w:spacing w:before="240" w:after="60"/>
    </w:pPr>
    <w:rPr>
      <w:color w:val="918585"/>
      <w:sz w:val="22"/>
    </w:rPr>
  </w:style>
  <w:style w:type="paragraph" w:customStyle="1" w:styleId="SideHeading">
    <w:name w:val="Side Heading"/>
    <w:basedOn w:val="HeadingBase"/>
    <w:rsid w:val="00437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B58"/>
    <w:pPr>
      <w:numPr>
        <w:numId w:val="10"/>
      </w:numPr>
    </w:pPr>
  </w:style>
  <w:style w:type="paragraph" w:styleId="PlainText">
    <w:name w:val="Plain Text"/>
    <w:basedOn w:val="Normal"/>
    <w:link w:val="PlainTextChar"/>
    <w:rsid w:val="00437B58"/>
    <w:rPr>
      <w:sz w:val="20"/>
    </w:rPr>
  </w:style>
  <w:style w:type="character" w:customStyle="1" w:styleId="PlainTextChar">
    <w:name w:val="Plain Text Char"/>
    <w:basedOn w:val="DefaultParagraphFont"/>
    <w:link w:val="PlainText"/>
    <w:rsid w:val="00437B58"/>
    <w:rPr>
      <w:rFonts w:ascii="Courier New" w:eastAsia="Times New Roman" w:hAnsi="Courier New" w:cs="Times New Roman"/>
      <w:sz w:val="20"/>
      <w:szCs w:val="20"/>
      <w:lang w:eastAsia="en-US"/>
    </w:rPr>
  </w:style>
  <w:style w:type="character" w:customStyle="1" w:styleId="MenuOption">
    <w:name w:val="Menu Option"/>
    <w:basedOn w:val="DefaultParagraphFont"/>
    <w:rsid w:val="00437B58"/>
    <w:rPr>
      <w:b/>
      <w:smallCaps/>
    </w:rPr>
  </w:style>
  <w:style w:type="paragraph" w:customStyle="1" w:styleId="TableListNumber">
    <w:name w:val="Table List Number"/>
    <w:basedOn w:val="ListNumber"/>
    <w:rsid w:val="00437B58"/>
    <w:pPr>
      <w:numPr>
        <w:numId w:val="0"/>
      </w:numPr>
    </w:pPr>
  </w:style>
  <w:style w:type="paragraph" w:styleId="TOC4">
    <w:name w:val="toc 4"/>
    <w:basedOn w:val="TOCBase"/>
    <w:next w:val="Normal"/>
    <w:semiHidden/>
    <w:rsid w:val="00437B58"/>
    <w:pPr>
      <w:tabs>
        <w:tab w:val="right" w:leader="dot" w:pos="9071"/>
      </w:tabs>
      <w:ind w:left="1701"/>
    </w:pPr>
  </w:style>
  <w:style w:type="paragraph" w:customStyle="1" w:styleId="ListAlpha">
    <w:name w:val="List Alpha"/>
    <w:basedOn w:val="List"/>
    <w:rsid w:val="00437B58"/>
    <w:pPr>
      <w:numPr>
        <w:numId w:val="8"/>
      </w:numPr>
    </w:pPr>
  </w:style>
  <w:style w:type="paragraph" w:customStyle="1" w:styleId="ListAlpha2">
    <w:name w:val="List Alpha 2"/>
    <w:basedOn w:val="List2"/>
    <w:rsid w:val="00437B58"/>
    <w:pPr>
      <w:numPr>
        <w:numId w:val="7"/>
      </w:numPr>
    </w:pPr>
  </w:style>
  <w:style w:type="paragraph" w:styleId="List2">
    <w:name w:val="List 2"/>
    <w:basedOn w:val="BodyText"/>
    <w:rsid w:val="00437B58"/>
    <w:pPr>
      <w:tabs>
        <w:tab w:val="left" w:pos="680"/>
      </w:tabs>
      <w:spacing w:before="60" w:after="60"/>
      <w:ind w:left="680" w:hanging="340"/>
    </w:pPr>
  </w:style>
  <w:style w:type="paragraph" w:styleId="List3">
    <w:name w:val="List 3"/>
    <w:basedOn w:val="BodyText"/>
    <w:rsid w:val="00437B58"/>
    <w:pPr>
      <w:tabs>
        <w:tab w:val="left" w:pos="1021"/>
      </w:tabs>
      <w:spacing w:before="60" w:after="60"/>
      <w:ind w:left="1020" w:hanging="340"/>
    </w:pPr>
  </w:style>
  <w:style w:type="paragraph" w:styleId="List4">
    <w:name w:val="List 4"/>
    <w:basedOn w:val="BodyText"/>
    <w:rsid w:val="00437B58"/>
    <w:pPr>
      <w:tabs>
        <w:tab w:val="left" w:pos="1361"/>
      </w:tabs>
      <w:spacing w:before="60" w:after="60"/>
      <w:ind w:left="1361" w:hanging="340"/>
    </w:pPr>
  </w:style>
  <w:style w:type="paragraph" w:styleId="List5">
    <w:name w:val="List 5"/>
    <w:basedOn w:val="BodyText"/>
    <w:rsid w:val="00437B58"/>
    <w:pPr>
      <w:tabs>
        <w:tab w:val="left" w:pos="1701"/>
      </w:tabs>
      <w:spacing w:before="60" w:after="60"/>
      <w:ind w:left="1701" w:hanging="340"/>
    </w:pPr>
  </w:style>
  <w:style w:type="paragraph" w:styleId="ListBullet3">
    <w:name w:val="List Bullet 3"/>
    <w:basedOn w:val="List3"/>
    <w:rsid w:val="00437B58"/>
    <w:pPr>
      <w:numPr>
        <w:numId w:val="13"/>
      </w:numPr>
      <w:tabs>
        <w:tab w:val="clear" w:pos="1021"/>
      </w:tabs>
      <w:ind w:left="1037" w:hanging="357"/>
    </w:pPr>
  </w:style>
  <w:style w:type="paragraph" w:styleId="ListBullet4">
    <w:name w:val="List Bullet 4"/>
    <w:basedOn w:val="List4"/>
    <w:rsid w:val="00437B58"/>
    <w:pPr>
      <w:numPr>
        <w:numId w:val="2"/>
      </w:numPr>
      <w:tabs>
        <w:tab w:val="clear" w:pos="1361"/>
      </w:tabs>
    </w:pPr>
  </w:style>
  <w:style w:type="paragraph" w:styleId="ListBullet5">
    <w:name w:val="List Bullet 5"/>
    <w:basedOn w:val="List5"/>
    <w:rsid w:val="00437B58"/>
    <w:pPr>
      <w:numPr>
        <w:numId w:val="3"/>
      </w:numPr>
    </w:pPr>
  </w:style>
  <w:style w:type="paragraph" w:styleId="ListContinue2">
    <w:name w:val="List Continue 2"/>
    <w:basedOn w:val="List2"/>
    <w:rsid w:val="00437B58"/>
    <w:pPr>
      <w:ind w:firstLine="0"/>
    </w:pPr>
  </w:style>
  <w:style w:type="paragraph" w:styleId="ListContinue3">
    <w:name w:val="List Continue 3"/>
    <w:basedOn w:val="List3"/>
    <w:rsid w:val="00437B58"/>
    <w:pPr>
      <w:ind w:left="1021" w:firstLine="0"/>
    </w:pPr>
  </w:style>
  <w:style w:type="paragraph" w:styleId="ListContinue4">
    <w:name w:val="List Continue 4"/>
    <w:basedOn w:val="List4"/>
    <w:rsid w:val="00437B58"/>
    <w:pPr>
      <w:ind w:firstLine="0"/>
    </w:pPr>
  </w:style>
  <w:style w:type="paragraph" w:styleId="ListContinue5">
    <w:name w:val="List Continue 5"/>
    <w:basedOn w:val="List5"/>
    <w:rsid w:val="00437B58"/>
    <w:pPr>
      <w:ind w:firstLine="0"/>
    </w:pPr>
  </w:style>
  <w:style w:type="paragraph" w:styleId="ListNumber3">
    <w:name w:val="List Number 3"/>
    <w:basedOn w:val="List3"/>
    <w:rsid w:val="00437B58"/>
    <w:pPr>
      <w:numPr>
        <w:numId w:val="4"/>
      </w:numPr>
    </w:pPr>
  </w:style>
  <w:style w:type="paragraph" w:styleId="ListNumber4">
    <w:name w:val="List Number 4"/>
    <w:basedOn w:val="List4"/>
    <w:rsid w:val="00437B58"/>
    <w:pPr>
      <w:numPr>
        <w:numId w:val="5"/>
      </w:numPr>
    </w:pPr>
  </w:style>
  <w:style w:type="paragraph" w:styleId="ListNumber5">
    <w:name w:val="List Number 5"/>
    <w:basedOn w:val="List5"/>
    <w:rsid w:val="00437B58"/>
    <w:pPr>
      <w:numPr>
        <w:numId w:val="6"/>
      </w:numPr>
    </w:pPr>
  </w:style>
  <w:style w:type="paragraph" w:styleId="BlockText">
    <w:name w:val="Block Text"/>
    <w:basedOn w:val="Normal"/>
    <w:rsid w:val="00437B58"/>
    <w:pPr>
      <w:spacing w:after="120"/>
      <w:ind w:left="1440" w:right="1440"/>
    </w:pPr>
  </w:style>
  <w:style w:type="character" w:customStyle="1" w:styleId="Subscript">
    <w:name w:val="Subscript"/>
    <w:basedOn w:val="DefaultParagraphFont"/>
    <w:rsid w:val="00437B58"/>
    <w:rPr>
      <w:sz w:val="16"/>
      <w:vertAlign w:val="subscript"/>
    </w:rPr>
  </w:style>
  <w:style w:type="character" w:customStyle="1" w:styleId="Superscript">
    <w:name w:val="Superscript"/>
    <w:basedOn w:val="DefaultParagraphFont"/>
    <w:rsid w:val="00437B58"/>
    <w:rPr>
      <w:sz w:val="16"/>
      <w:vertAlign w:val="superscript"/>
    </w:rPr>
  </w:style>
  <w:style w:type="character" w:customStyle="1" w:styleId="Symbols">
    <w:name w:val="Symbols"/>
    <w:basedOn w:val="DefaultParagraphFont"/>
    <w:rsid w:val="00437B58"/>
    <w:rPr>
      <w:rFonts w:ascii="Symbol" w:hAnsi="Symbol"/>
    </w:rPr>
  </w:style>
  <w:style w:type="character" w:customStyle="1" w:styleId="MenuOptions">
    <w:name w:val="Menu Options"/>
    <w:basedOn w:val="DefaultParagraphFont"/>
    <w:rsid w:val="00437B58"/>
    <w:rPr>
      <w:rFonts w:ascii="Arial Narrow" w:hAnsi="Arial Narrow"/>
      <w:smallCaps/>
    </w:rPr>
  </w:style>
  <w:style w:type="character" w:customStyle="1" w:styleId="Buttons">
    <w:name w:val="Buttons"/>
    <w:basedOn w:val="DefaultParagraphFont"/>
    <w:rsid w:val="00437B58"/>
    <w:rPr>
      <w:b/>
    </w:rPr>
  </w:style>
  <w:style w:type="character" w:customStyle="1" w:styleId="Underlined">
    <w:name w:val="Underlined"/>
    <w:basedOn w:val="DefaultParagraphFont"/>
    <w:rsid w:val="00437B58"/>
    <w:rPr>
      <w:u w:val="single"/>
    </w:rPr>
  </w:style>
  <w:style w:type="paragraph" w:customStyle="1" w:styleId="TableBodyTextRight">
    <w:name w:val="Table Body Text Right"/>
    <w:basedOn w:val="TableBodyText"/>
    <w:rsid w:val="00437B58"/>
    <w:pPr>
      <w:widowControl w:val="0"/>
      <w:autoSpaceDE w:val="0"/>
      <w:autoSpaceDN w:val="0"/>
      <w:adjustRightInd w:val="0"/>
      <w:jc w:val="right"/>
    </w:pPr>
    <w:rPr>
      <w:rFonts w:cs="Arial"/>
      <w:szCs w:val="18"/>
    </w:rPr>
  </w:style>
  <w:style w:type="paragraph" w:customStyle="1" w:styleId="CopyrightText">
    <w:name w:val="Copyright Text"/>
    <w:basedOn w:val="BodyText"/>
    <w:rsid w:val="00437B58"/>
    <w:rPr>
      <w:sz w:val="18"/>
    </w:rPr>
  </w:style>
  <w:style w:type="paragraph" w:customStyle="1" w:styleId="BodySmallRight">
    <w:name w:val="Body Small Right"/>
    <w:basedOn w:val="BodyTextRight"/>
    <w:rsid w:val="00437B58"/>
    <w:rPr>
      <w:sz w:val="18"/>
      <w:szCs w:val="18"/>
    </w:rPr>
  </w:style>
  <w:style w:type="paragraph" w:customStyle="1" w:styleId="MarginEdition">
    <w:name w:val="Margin Edition"/>
    <w:basedOn w:val="MarginNote"/>
    <w:rsid w:val="00437B58"/>
    <w:pPr>
      <w:spacing w:before="0" w:after="0"/>
    </w:pPr>
    <w:rPr>
      <w:rFonts w:ascii="Times New Roman" w:hAnsi="Times New Roman"/>
      <w:color w:val="999999"/>
    </w:rPr>
  </w:style>
  <w:style w:type="paragraph" w:customStyle="1" w:styleId="Spacer">
    <w:name w:val="Spacer"/>
    <w:basedOn w:val="Normal"/>
    <w:rsid w:val="00437B58"/>
    <w:rPr>
      <w:sz w:val="2"/>
      <w:szCs w:val="2"/>
    </w:rPr>
  </w:style>
  <w:style w:type="character" w:customStyle="1" w:styleId="Small">
    <w:name w:val="Small"/>
    <w:basedOn w:val="DefaultParagraphFont"/>
    <w:rsid w:val="00437B58"/>
    <w:rPr>
      <w:sz w:val="16"/>
    </w:rPr>
  </w:style>
  <w:style w:type="paragraph" w:customStyle="1" w:styleId="WideTable">
    <w:name w:val="Wide Table"/>
    <w:basedOn w:val="Normal"/>
    <w:rsid w:val="00437B58"/>
    <w:pPr>
      <w:ind w:left="-1418"/>
    </w:pPr>
    <w:rPr>
      <w:sz w:val="2"/>
      <w:szCs w:val="2"/>
    </w:rPr>
  </w:style>
  <w:style w:type="character" w:styleId="PageNumber">
    <w:name w:val="page number"/>
    <w:basedOn w:val="DefaultParagraphFont"/>
    <w:rsid w:val="00437B58"/>
  </w:style>
  <w:style w:type="paragraph" w:styleId="Quote">
    <w:name w:val="Quote"/>
    <w:basedOn w:val="Heading1"/>
    <w:link w:val="QuoteChar"/>
    <w:qFormat/>
    <w:rsid w:val="00437B58"/>
    <w:rPr>
      <w:b w:val="0"/>
      <w:sz w:val="72"/>
      <w:szCs w:val="72"/>
      <w:lang w:val="en-NZ"/>
    </w:rPr>
  </w:style>
  <w:style w:type="character" w:customStyle="1" w:styleId="QuoteChar">
    <w:name w:val="Quote Char"/>
    <w:basedOn w:val="DefaultParagraphFont"/>
    <w:link w:val="Quote"/>
    <w:rsid w:val="00437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B58"/>
    <w:pPr>
      <w:pageBreakBefore/>
    </w:pPr>
  </w:style>
  <w:style w:type="paragraph" w:customStyle="1" w:styleId="Border">
    <w:name w:val="Border"/>
    <w:basedOn w:val="Normal"/>
    <w:qFormat/>
    <w:rsid w:val="00437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B58"/>
    <w:rPr>
      <w:b/>
      <w:bCs/>
      <w:i/>
      <w:iCs/>
      <w:color w:val="auto"/>
    </w:rPr>
  </w:style>
  <w:style w:type="paragraph" w:styleId="IntenseQuote">
    <w:name w:val="Intense Quote"/>
    <w:basedOn w:val="Normal"/>
    <w:next w:val="Normal"/>
    <w:link w:val="IntenseQuoteChar"/>
    <w:uiPriority w:val="30"/>
    <w:qFormat/>
    <w:rsid w:val="00437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B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B58"/>
    <w:rPr>
      <w:smallCaps/>
      <w:color w:val="auto"/>
      <w:u w:val="single"/>
    </w:rPr>
  </w:style>
  <w:style w:type="character" w:styleId="IntenseReference">
    <w:name w:val="Intense Reference"/>
    <w:basedOn w:val="DefaultParagraphFont"/>
    <w:uiPriority w:val="32"/>
    <w:qFormat/>
    <w:rsid w:val="00437B58"/>
    <w:rPr>
      <w:b/>
      <w:bCs/>
      <w:smallCaps/>
      <w:color w:val="auto"/>
      <w:spacing w:val="5"/>
      <w:u w:val="single"/>
    </w:rPr>
  </w:style>
  <w:style w:type="paragraph" w:customStyle="1" w:styleId="2ColumnHeading">
    <w:name w:val="2Column Heading"/>
    <w:basedOn w:val="BodyText"/>
    <w:qFormat/>
    <w:rsid w:val="00437B58"/>
    <w:pPr>
      <w:spacing w:after="60"/>
      <w:ind w:left="-2268"/>
    </w:pPr>
    <w:rPr>
      <w:b/>
    </w:rPr>
  </w:style>
  <w:style w:type="paragraph" w:customStyle="1" w:styleId="Heading1TOC">
    <w:name w:val="Heading1 TOC"/>
    <w:basedOn w:val="Normal"/>
    <w:qFormat/>
    <w:rsid w:val="00437B58"/>
    <w:pPr>
      <w:spacing w:before="240" w:after="120"/>
    </w:pPr>
    <w:rPr>
      <w:rFonts w:ascii="Times New Roman" w:hAnsi="Times New Roman"/>
      <w:b/>
      <w:sz w:val="32"/>
    </w:rPr>
  </w:style>
  <w:style w:type="paragraph" w:customStyle="1" w:styleId="Heading2TOC">
    <w:name w:val="Heading2 TOC"/>
    <w:basedOn w:val="Normal"/>
    <w:qFormat/>
    <w:rsid w:val="00437B58"/>
    <w:pPr>
      <w:spacing w:before="240" w:after="60"/>
    </w:pPr>
    <w:rPr>
      <w:rFonts w:ascii="Times New Roman" w:hAnsi="Times New Roman"/>
      <w:b/>
      <w:sz w:val="28"/>
    </w:rPr>
  </w:style>
  <w:style w:type="character" w:customStyle="1" w:styleId="Underline">
    <w:name w:val="Underline"/>
    <w:basedOn w:val="DefaultParagraphFont"/>
    <w:qFormat/>
    <w:rsid w:val="00437B58"/>
    <w:rPr>
      <w:u w:val="single"/>
    </w:rPr>
  </w:style>
  <w:style w:type="character" w:customStyle="1" w:styleId="BoldandItalics">
    <w:name w:val="Bold and Italics"/>
    <w:qFormat/>
    <w:rsid w:val="00437B58"/>
    <w:rPr>
      <w:b/>
      <w:i/>
      <w:u w:val="none"/>
    </w:rPr>
  </w:style>
  <w:style w:type="paragraph" w:styleId="BalloonText">
    <w:name w:val="Balloon Text"/>
    <w:basedOn w:val="Normal"/>
    <w:link w:val="BalloonTextChar"/>
    <w:rsid w:val="00437B58"/>
    <w:rPr>
      <w:rFonts w:ascii="Tahoma" w:hAnsi="Tahoma" w:cs="Tahoma"/>
      <w:sz w:val="16"/>
      <w:szCs w:val="16"/>
    </w:rPr>
  </w:style>
  <w:style w:type="character" w:customStyle="1" w:styleId="BalloonTextChar">
    <w:name w:val="Balloon Text Char"/>
    <w:basedOn w:val="DefaultParagraphFont"/>
    <w:link w:val="BalloonText"/>
    <w:rsid w:val="00437B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B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7B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B58"/>
    <w:rPr>
      <w:b/>
      <w:color w:val="660033"/>
      <w:spacing w:val="0"/>
    </w:rPr>
  </w:style>
  <w:style w:type="paragraph" w:customStyle="1" w:styleId="Nameditemlist">
    <w:name w:val="Named item list"/>
    <w:basedOn w:val="BodyText"/>
    <w:qFormat/>
    <w:rsid w:val="00437B58"/>
    <w:pPr>
      <w:tabs>
        <w:tab w:val="left" w:pos="2835"/>
      </w:tabs>
      <w:ind w:left="2835" w:hanging="2835"/>
    </w:pPr>
  </w:style>
  <w:style w:type="paragraph" w:customStyle="1" w:styleId="BodyTextnopadding">
    <w:name w:val="Body Text no padding"/>
    <w:basedOn w:val="BodyText"/>
    <w:qFormat/>
    <w:rsid w:val="00437B58"/>
    <w:pPr>
      <w:spacing w:before="0" w:after="0"/>
    </w:pPr>
  </w:style>
  <w:style w:type="paragraph" w:customStyle="1" w:styleId="BodyTextBold">
    <w:name w:val="Body Text Bold"/>
    <w:basedOn w:val="BodyText"/>
    <w:qFormat/>
    <w:rsid w:val="00437B58"/>
    <w:rPr>
      <w:b/>
    </w:rPr>
  </w:style>
  <w:style w:type="character" w:styleId="Hyperlink">
    <w:name w:val="Hyperlink"/>
    <w:basedOn w:val="DefaultParagraphFont"/>
    <w:uiPriority w:val="99"/>
    <w:unhideWhenUsed/>
    <w:rsid w:val="007E0A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1028</Words>
  <Characters>6338</Characters>
  <Application>Microsoft Office Word</Application>
  <DocSecurity>0</DocSecurity>
  <Lines>372</Lines>
  <Paragraphs>230</Paragraphs>
  <ScaleCrop>false</ScaleCrop>
  <Company>Author-it Software Corporation Ltd.</Company>
  <LinksUpToDate>false</LinksUpToDate>
  <CharactersWithSpaces>7136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MEM21003 Perform watch case servicing, repair and refurbishment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2023-02-03T08:10:00Z</dcterms:created>
  <dcterms:modified xsi:type="dcterms:W3CDTF">2023-02-03T08:10:00Z</dcterms:modified>
</cp:coreProperties>
</file>