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7F5" w:rsidP="006E57F5">
      <w:pPr>
        <w:pStyle w:val="Title"/>
      </w:pPr>
      <w:r>
        <w:fldChar w:fldCharType="begin"/>
      </w:r>
      <w:r>
        <w:instrText xml:space="preserve"> TITLE   \* MERGEFORMAT </w:instrText>
      </w:r>
      <w:r>
        <w:fldChar w:fldCharType="separate"/>
      </w:r>
      <w:r>
        <w:t>MEM21003 Perform watch case servicing, repair and refurbishment</w:t>
      </w:r>
      <w:r>
        <w:fldChar w:fldCharType="end"/>
      </w:r>
    </w:p>
    <w:p w:rsidR="006E57F5" w:rsidP="006E57F5">
      <w:pPr>
        <w:pStyle w:val="Version"/>
        <w:sectPr w:rsidSect="00B22A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AE9" w:rsidP="00B22AE9">
      <w:pPr>
        <w:pStyle w:val="SuperHeading"/>
      </w:pPr>
      <w:r w:rsidRPr="00B22AE9">
        <w:t>MEM21003 Perform watch case servicing, repair and refurbishment</w:t>
      </w:r>
    </w:p>
    <w:p w:rsidR="00000000" w:rsidRPr="00B22AE9" w:rsidP="00B22AE9">
      <w:pPr>
        <w:pStyle w:val="Heading1"/>
      </w:pPr>
      <w:bookmarkStart w:id="1" w:name="O_951160"/>
      <w:bookmarkEnd w:id="1"/>
      <w:r w:rsidRPr="00B22AE9">
        <w:t>Modification History</w:t>
      </w:r>
    </w:p>
    <w:p w:rsidR="00000000" w:rsidRPr="00B22AE9" w:rsidP="006E57F5">
      <w:pPr>
        <w:pStyle w:val="BodyText"/>
      </w:pPr>
      <w:r w:rsidRPr="00B22AE9">
        <w:t xml:space="preserve">Release 1. Supersedes and is equivalent to MEM21003A Perform watch case servicing, repair and refurbishment </w:t>
      </w:r>
    </w:p>
    <w:p w:rsidR="00000000" w:rsidRPr="00B22AE9" w:rsidP="00B22AE9">
      <w:pPr>
        <w:pStyle w:val="Heading1"/>
      </w:pPr>
      <w:bookmarkStart w:id="2" w:name="O_951168"/>
      <w:bookmarkEnd w:id="2"/>
      <w:r w:rsidRPr="00B22AE9">
        <w:t>Application</w:t>
      </w:r>
    </w:p>
    <w:p w:rsidR="00000000" w:rsidRPr="00B22AE9" w:rsidP="006E57F5">
      <w:pPr>
        <w:pStyle w:val="BodyText"/>
      </w:pPr>
      <w:r w:rsidRPr="00B22AE9">
        <w:t>This unit o</w:t>
      </w:r>
      <w:r w:rsidRPr="00B22AE9">
        <w:t>f competency defines the skills and knowledge to service and repair watch cases, including replacement techniques for auxiliary components. It includes refurbishment of watch cases and bands by polishing and graining and water-resistance testing methods an</w:t>
      </w:r>
      <w:r w:rsidRPr="00B22AE9">
        <w:t>d procedures.</w:t>
      </w:r>
    </w:p>
    <w:p w:rsidR="00000000" w:rsidRPr="00B22AE9" w:rsidP="006E57F5">
      <w:pPr>
        <w:pStyle w:val="BodyText"/>
      </w:pPr>
      <w:r w:rsidRPr="00B22AE9">
        <w:t>No licensing, legislative or certification requirements apply to this unit at the time of publication.</w:t>
      </w:r>
    </w:p>
    <w:p w:rsidR="00000000" w:rsidRPr="00B22AE9" w:rsidP="006E57F5">
      <w:pPr>
        <w:pStyle w:val="Heading3"/>
      </w:pPr>
      <w:r w:rsidRPr="00B22AE9">
        <w:rPr>
          <w:rStyle w:val="SpecialBold"/>
        </w:rPr>
        <w:t>Band:  A</w:t>
      </w:r>
    </w:p>
    <w:p w:rsidR="00000000" w:rsidRPr="00B22AE9" w:rsidP="006E57F5">
      <w:pPr>
        <w:pStyle w:val="Heading3"/>
      </w:pPr>
      <w:r w:rsidRPr="00B22AE9">
        <w:rPr>
          <w:rStyle w:val="SpecialBold"/>
        </w:rPr>
        <w:t xml:space="preserve">Unit weight:  4 </w:t>
      </w:r>
    </w:p>
    <w:p w:rsidR="00000000" w:rsidRPr="00B22AE9" w:rsidP="00B22AE9">
      <w:pPr>
        <w:pStyle w:val="Heading1"/>
      </w:pPr>
      <w:bookmarkStart w:id="3" w:name="O_951167"/>
      <w:bookmarkEnd w:id="3"/>
      <w:r w:rsidRPr="00B22AE9">
        <w:t>Pre-requisite Unit</w:t>
      </w:r>
    </w:p>
    <w:tbl>
      <w:tblPr>
        <w:tblW w:w="0" w:type="auto"/>
        <w:tblLayout w:type="fixed"/>
        <w:tblCellMar>
          <w:left w:w="62" w:type="dxa"/>
          <w:right w:w="62" w:type="dxa"/>
        </w:tblCellMar>
        <w:tblLook w:val="0000"/>
      </w:tblPr>
      <w:tblGrid>
        <w:gridCol w:w="2186"/>
        <w:gridCol w:w="6886"/>
      </w:tblGrid>
      <w:tr w:rsidTr="00B22AE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MEM13015</w:t>
            </w:r>
          </w:p>
        </w:tc>
        <w:tc>
          <w:tcPr>
            <w:tcW w:w="6886"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Work safely and effectively in manufacturing and engineering</w:t>
            </w:r>
          </w:p>
        </w:tc>
      </w:tr>
      <w:tr w:rsidTr="00B22AE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MEM1</w:t>
            </w:r>
            <w:r w:rsidRPr="00B22AE9">
              <w:t>6006</w:t>
            </w:r>
          </w:p>
        </w:tc>
        <w:tc>
          <w:tcPr>
            <w:tcW w:w="6886"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Organise and communicate information</w:t>
            </w:r>
          </w:p>
        </w:tc>
      </w:tr>
      <w:tr w:rsidTr="00B22AE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MEM21001</w:t>
            </w:r>
          </w:p>
        </w:tc>
        <w:tc>
          <w:tcPr>
            <w:tcW w:w="6886"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Replace watch batteries, capacitors and bands</w:t>
            </w:r>
          </w:p>
        </w:tc>
      </w:tr>
      <w:tr w:rsidTr="00B22AE9">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MEM21002</w:t>
            </w:r>
          </w:p>
        </w:tc>
        <w:tc>
          <w:tcPr>
            <w:tcW w:w="6886" w:type="dxa"/>
            <w:tcBorders>
              <w:top w:val="nil"/>
              <w:left w:val="nil"/>
              <w:bottom w:val="nil"/>
              <w:right w:val="nil"/>
            </w:tcBorders>
            <w:tcMar>
              <w:top w:w="0" w:type="dxa"/>
              <w:left w:w="62" w:type="dxa"/>
              <w:bottom w:w="0" w:type="dxa"/>
              <w:right w:w="62" w:type="dxa"/>
            </w:tcMar>
          </w:tcPr>
          <w:p w:rsidR="00000000" w:rsidRPr="00B22AE9" w:rsidP="00B22AE9">
            <w:pPr>
              <w:pStyle w:val="BodyText"/>
            </w:pPr>
            <w:r w:rsidRPr="00B22AE9">
              <w:t>Perform watch movement exchange</w:t>
            </w:r>
          </w:p>
        </w:tc>
      </w:tr>
    </w:tbl>
    <w:p w:rsidR="00000000" w:rsidRPr="00B22AE9" w:rsidP="00B22AE9">
      <w:pPr>
        <w:pStyle w:val="BodyText"/>
      </w:pPr>
    </w:p>
    <w:p w:rsidR="00000000" w:rsidRPr="00B22AE9" w:rsidP="00B22AE9">
      <w:pPr>
        <w:pStyle w:val="AllowPageBreak"/>
      </w:pPr>
    </w:p>
    <w:p w:rsidR="00000000" w:rsidRPr="00B22AE9" w:rsidP="00B22AE9">
      <w:pPr>
        <w:pStyle w:val="Heading1"/>
      </w:pPr>
      <w:bookmarkStart w:id="4" w:name="O_951166"/>
      <w:bookmarkEnd w:id="4"/>
      <w:r w:rsidRPr="00B22AE9">
        <w:t>Competency Field</w:t>
      </w:r>
    </w:p>
    <w:p w:rsidR="00000000" w:rsidRPr="00B22AE9" w:rsidP="006E57F5">
      <w:pPr>
        <w:pStyle w:val="BodyText"/>
      </w:pPr>
      <w:r w:rsidRPr="00B22AE9">
        <w:t>Horology</w:t>
      </w:r>
    </w:p>
    <w:p w:rsidR="00000000" w:rsidRPr="00B22AE9" w:rsidP="00B22AE9">
      <w:pPr>
        <w:pStyle w:val="Heading1"/>
      </w:pPr>
      <w:bookmarkStart w:id="5" w:name="O_951164"/>
      <w:bookmarkEnd w:id="5"/>
      <w:r w:rsidRPr="00B22AE9">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22AE9">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Performance criteria describe the performance needed to demonstrate achievement of the element.</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22AE9" w:rsidP="00B22AE9">
            <w:pPr>
              <w:pStyle w:val="BodyText"/>
            </w:pPr>
            <w:r w:rsidRPr="00B22AE9">
              <w:t>1</w:t>
            </w:r>
          </w:p>
        </w:tc>
        <w:tc>
          <w:tcPr>
            <w:tcW w:w="1986" w:type="dxa"/>
            <w:vMerge w:val="restart"/>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1.1</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Follow standard operating procedures (SOPs)</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1.2</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Comply with work health and safety (WHS) requirements at all times</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1.3</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Select and use appropriate personal protective equipment (PPE) in accordance with SOPs</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1.4</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 xml:space="preserve"> Identify job requirements from specifications, job sheets or work instructions</w:t>
            </w:r>
          </w:p>
        </w:tc>
      </w:tr>
      <w:tr w:rsidTr="00B22AE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22AE9">
            <w:pPr>
              <w:pStyle w:val="BodyText"/>
              <w:rPr>
                <w:lang w:val="en-NZ"/>
              </w:rPr>
            </w:pP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22AE9" w:rsidP="00B22AE9">
            <w:pPr>
              <w:pStyle w:val="BodyText"/>
            </w:pPr>
            <w:r w:rsidRPr="00B22AE9">
              <w:t>2</w:t>
            </w:r>
          </w:p>
        </w:tc>
        <w:tc>
          <w:tcPr>
            <w:tcW w:w="1986" w:type="dxa"/>
            <w:vMerge w:val="restart"/>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Establish servicing requirements and liaise with customer</w:t>
            </w: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2.1</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Identify watch case type, functions, construction and components</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2.2</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Carry out pre-repair tests to verify water-resistance, as required</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2.3</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Prepare written quotation and inform customer of</w:t>
            </w:r>
            <w:r w:rsidRPr="00B22AE9">
              <w:t xml:space="preserve"> watch case condition and outline recommended service procedures </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2.4</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Verify and agree on servicing requirements with customer</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2.5</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 xml:space="preserve">Prepare watch for handover </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2.6</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 xml:space="preserve">Record and document repair process </w:t>
            </w:r>
          </w:p>
        </w:tc>
      </w:tr>
      <w:tr w:rsidTr="00B22AE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22AE9">
            <w:pPr>
              <w:pStyle w:val="BodyText"/>
              <w:rPr>
                <w:lang w:val="en-NZ"/>
              </w:rPr>
            </w:pP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22AE9" w:rsidP="00B22AE9">
            <w:pPr>
              <w:pStyle w:val="BodyText"/>
            </w:pPr>
            <w:r w:rsidRPr="00B22AE9">
              <w:t>3</w:t>
            </w:r>
          </w:p>
        </w:tc>
        <w:tc>
          <w:tcPr>
            <w:tcW w:w="1986" w:type="dxa"/>
            <w:vMerge w:val="restart"/>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Disassemble watch case and components for servicing</w:t>
            </w: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3.1</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Establish an appropriate clean and safe work environment</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3.2</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 xml:space="preserve">Open and close watch cases </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3.3</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Use hand tools and equipment in safe and correct manner</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3.4</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Remove watch case, sub-assemblies and components in correct sequence without damaging, marking or leaving fingerprints</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3.5</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Verify condition of case gaskets and replace, as required</w:t>
            </w:r>
          </w:p>
        </w:tc>
      </w:tr>
      <w:tr w:rsidTr="00B22AE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22AE9">
            <w:pPr>
              <w:pStyle w:val="BodyText"/>
              <w:rPr>
                <w:lang w:val="en-NZ"/>
              </w:rPr>
            </w:pP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22AE9" w:rsidP="00B22AE9">
            <w:pPr>
              <w:pStyle w:val="BodyText"/>
            </w:pPr>
            <w:r w:rsidRPr="00B22AE9">
              <w:t>4</w:t>
            </w:r>
          </w:p>
        </w:tc>
        <w:tc>
          <w:tcPr>
            <w:tcW w:w="1986" w:type="dxa"/>
            <w:vMerge w:val="restart"/>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Repair and refurbish watch case, sub-assemblies and components</w:t>
            </w: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4.1</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Inspect condition of watch case, including case sub-assemblies and components</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4.2</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 xml:space="preserve">Replace faulty or damaged or worn watch case, sub-assemblies and components </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4.3</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Select appropriate media for polishing and graining case and band components</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4.4</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 xml:space="preserve">Set up and operate machines and equipment safely for polishing and graining </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4.5</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Select appropriate case and band cleaning methods</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4.6</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Inspect watch case for condition and cleanliness and rectify imperfections and faults</w:t>
            </w:r>
          </w:p>
        </w:tc>
      </w:tr>
      <w:tr w:rsidTr="00B22AE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22AE9">
            <w:pPr>
              <w:pStyle w:val="BodyText"/>
              <w:rPr>
                <w:lang w:val="en-NZ"/>
              </w:rPr>
            </w:pP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22AE9" w:rsidP="00B22AE9">
            <w:pPr>
              <w:pStyle w:val="BodyText"/>
            </w:pPr>
            <w:r w:rsidRPr="00B22AE9">
              <w:t>5</w:t>
            </w:r>
          </w:p>
        </w:tc>
        <w:tc>
          <w:tcPr>
            <w:tcW w:w="1986" w:type="dxa"/>
            <w:vMerge w:val="restart"/>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Reassemble watch case, sub-assemblies and components</w:t>
            </w: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5.1</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Reassemble and fit watch case, sub-assemblies and components according to manufacturer specifications</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5.2</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Lubricate watch case, including case sub-assemblies and components and sub-assemblies acco</w:t>
            </w:r>
            <w:r w:rsidRPr="00B22AE9">
              <w:t xml:space="preserve">rding to manufacturer specifications </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5.3</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Verify security, functioning, and operation of watch case, sub-assemblies and components</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5.4</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Apply watch case assembly inspections and precautions</w:t>
            </w:r>
          </w:p>
        </w:tc>
      </w:tr>
      <w:tr w:rsidTr="00B22AE9">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22AE9">
            <w:pPr>
              <w:pStyle w:val="BodyText"/>
              <w:rPr>
                <w:lang w:val="en-NZ"/>
              </w:rPr>
            </w:pP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22AE9" w:rsidP="00B22AE9">
            <w:pPr>
              <w:pStyle w:val="BodyText"/>
            </w:pPr>
            <w:r w:rsidRPr="00B22AE9">
              <w:t>6</w:t>
            </w:r>
          </w:p>
        </w:tc>
        <w:tc>
          <w:tcPr>
            <w:tcW w:w="1986" w:type="dxa"/>
            <w:vMerge w:val="restart"/>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Perform water-resistance testing for watch cases</w:t>
            </w: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6.1</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Verify and confirm water-resistance rating of watch case</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6.2</w:t>
            </w:r>
          </w:p>
        </w:tc>
        <w:tc>
          <w:tcPr>
            <w:tcW w:w="5678"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Identify, set up and operate equipment for water-resistance testing and interpret readings</w:t>
            </w:r>
          </w:p>
        </w:tc>
      </w:tr>
      <w:tr w:rsidTr="00B22AE9">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6.3</w:t>
            </w:r>
          </w:p>
        </w:tc>
        <w:tc>
          <w:tcPr>
            <w:tcW w:w="5678" w:type="dxa"/>
            <w:tcBorders>
              <w:top w:val="nil"/>
              <w:left w:val="nil"/>
              <w:bottom w:val="nil"/>
              <w:right w:val="nil"/>
            </w:tcBorders>
            <w:tcMar>
              <w:top w:w="0" w:type="dxa"/>
              <w:left w:w="62" w:type="dxa"/>
              <w:bottom w:w="0" w:type="dxa"/>
              <w:right w:w="62" w:type="dxa"/>
            </w:tcMar>
          </w:tcPr>
          <w:p w:rsidR="00000000" w:rsidRPr="00B22AE9" w:rsidP="00B22AE9">
            <w:pPr>
              <w:pStyle w:val="BodyText"/>
            </w:pPr>
            <w:r w:rsidRPr="00B22AE9">
              <w:t>Verify watch case performance and repair or replace components and gaskets, as required, to in</w:t>
            </w:r>
            <w:r w:rsidRPr="00B22AE9">
              <w:t>dustry standards</w:t>
            </w:r>
          </w:p>
        </w:tc>
      </w:tr>
    </w:tbl>
    <w:p w:rsidR="00000000" w:rsidRPr="00B22AE9" w:rsidP="00B22AE9">
      <w:pPr>
        <w:pStyle w:val="BodyText"/>
      </w:pPr>
    </w:p>
    <w:p w:rsidR="00000000" w:rsidRPr="00B22AE9" w:rsidP="00B22AE9">
      <w:pPr>
        <w:pStyle w:val="AllowPageBreak"/>
      </w:pPr>
    </w:p>
    <w:p w:rsidR="00000000" w:rsidRPr="00B22AE9" w:rsidP="00B22AE9">
      <w:pPr>
        <w:pStyle w:val="Heading1"/>
      </w:pPr>
      <w:bookmarkStart w:id="6" w:name="O_951163"/>
      <w:bookmarkEnd w:id="6"/>
      <w:r w:rsidRPr="00B22AE9">
        <w:t>Foundation Skills</w:t>
      </w:r>
    </w:p>
    <w:p w:rsidR="00000000" w:rsidRPr="00B22AE9" w:rsidP="006E57F5">
      <w:pPr>
        <w:pStyle w:val="BodyText"/>
      </w:pPr>
      <w:r w:rsidRPr="00B22AE9">
        <w:t xml:space="preserve">This section describes those required skills (reading, writing, oral communication and numeracy) that are essential to workplace performance in this unit of competency.  </w:t>
      </w:r>
    </w:p>
    <w:p w:rsidR="00000000" w:rsidRPr="00B22AE9" w:rsidP="006E57F5">
      <w:pPr>
        <w:pStyle w:val="BodyText"/>
      </w:pPr>
      <w:r w:rsidRPr="00B22AE9">
        <w:t>Foundation skills essential to performance are explicit in the performance criteria of this unit of competency.</w:t>
      </w:r>
    </w:p>
    <w:p w:rsidR="00000000" w:rsidRPr="00B22AE9" w:rsidP="00B22AE9">
      <w:pPr>
        <w:pStyle w:val="Heading1"/>
      </w:pPr>
      <w:bookmarkStart w:id="7" w:name="O_951162"/>
      <w:bookmarkEnd w:id="7"/>
      <w:r w:rsidRPr="00B22AE9">
        <w:t>Range of Conditions</w:t>
      </w:r>
    </w:p>
    <w:tbl>
      <w:tblPr>
        <w:tblW w:w="0" w:type="auto"/>
        <w:tblLayout w:type="fixed"/>
        <w:tblCellMar>
          <w:left w:w="62" w:type="dxa"/>
          <w:right w:w="62" w:type="dxa"/>
        </w:tblCellMar>
        <w:tblLook w:val="0000"/>
      </w:tblPr>
      <w:tblGrid>
        <w:gridCol w:w="2641"/>
        <w:gridCol w:w="6501"/>
      </w:tblGrid>
      <w:tr w:rsidTr="00B22AE9">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t>This field allows for different work environments and conditions that may affect performance. Essential ope</w:t>
            </w:r>
            <w:r w:rsidRPr="00B22AE9">
              <w:t>rating conditions that may be present (depending on the work situation, needs of the candidate, accessibility of the item, and local industry and regional contexts) are included.</w:t>
            </w:r>
          </w:p>
        </w:tc>
      </w:tr>
      <w:tr w:rsidTr="00B22AE9">
        <w:tblPrEx>
          <w:tblW w:w="0" w:type="auto"/>
          <w:tblLayout w:type="fixed"/>
          <w:tblCellMar>
            <w:left w:w="62" w:type="dxa"/>
            <w:right w:w="62" w:type="dxa"/>
          </w:tblCellMar>
          <w:tblLook w:val="0000"/>
        </w:tblPrEx>
        <w:trPr>
          <w:trHeight w:val="2837"/>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Watch case auxiliary components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watch glasses</w:t>
            </w:r>
          </w:p>
          <w:p w:rsidR="00000000" w:rsidRPr="00B22AE9" w:rsidP="00B22AE9">
            <w:pPr>
              <w:pStyle w:val="ListBullet"/>
            </w:pPr>
            <w:r w:rsidRPr="00B22AE9">
              <w:t>pendants</w:t>
            </w:r>
          </w:p>
          <w:p w:rsidR="00000000" w:rsidRPr="00B22AE9" w:rsidP="00B22AE9">
            <w:pPr>
              <w:pStyle w:val="ListBullet"/>
            </w:pPr>
            <w:r w:rsidRPr="00B22AE9">
              <w:t>pushbuttons and correctors</w:t>
            </w:r>
          </w:p>
          <w:p w:rsidR="00000000" w:rsidRPr="00B22AE9" w:rsidP="00B22AE9">
            <w:pPr>
              <w:pStyle w:val="ListBullet"/>
            </w:pPr>
            <w:r w:rsidRPr="00B22AE9">
              <w:t>bezels</w:t>
            </w:r>
          </w:p>
          <w:p w:rsidR="00000000" w:rsidRPr="00B22AE9" w:rsidP="00B22AE9">
            <w:pPr>
              <w:pStyle w:val="ListBullet"/>
            </w:pPr>
            <w:r w:rsidRPr="00B22AE9">
              <w:t>case backs</w:t>
            </w:r>
          </w:p>
          <w:p w:rsidR="00000000" w:rsidRPr="00B22AE9" w:rsidP="00B22AE9">
            <w:pPr>
              <w:pStyle w:val="ListBullet"/>
            </w:pPr>
            <w:r w:rsidRPr="00B22AE9">
              <w:t>gaskets</w:t>
            </w:r>
          </w:p>
          <w:p w:rsidR="00000000" w:rsidRPr="00B22AE9" w:rsidP="00B22AE9">
            <w:pPr>
              <w:pStyle w:val="ListBullet"/>
            </w:pPr>
            <w:r w:rsidRPr="00B22AE9">
              <w:t>crowns and bands</w:t>
            </w:r>
          </w:p>
          <w:p w:rsidR="00000000" w:rsidP="00B22AE9">
            <w:pPr>
              <w:pStyle w:val="ListBullet"/>
              <w:rPr>
                <w:lang w:val="en-NZ"/>
              </w:rPr>
            </w:pPr>
            <w:r w:rsidRPr="00B22AE9">
              <w:t xml:space="preserve">straps or bracelets </w:t>
            </w:r>
          </w:p>
        </w:tc>
      </w:tr>
      <w:tr w:rsidTr="00B22AE9">
        <w:tblPrEx>
          <w:tblW w:w="0" w:type="auto"/>
          <w:tblLayout w:type="fixed"/>
          <w:tblCellMar>
            <w:left w:w="62" w:type="dxa"/>
            <w:right w:w="62" w:type="dxa"/>
          </w:tblCellMar>
          <w:tblLook w:val="0000"/>
        </w:tblPrEx>
        <w:trPr>
          <w:trHeight w:val="3093"/>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Watch case types include (1) one or more of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pocket watch</w:t>
            </w:r>
          </w:p>
          <w:p w:rsidR="00000000" w:rsidRPr="00B22AE9" w:rsidP="00B22AE9">
            <w:pPr>
              <w:pStyle w:val="ListBullet"/>
            </w:pPr>
            <w:r w:rsidRPr="00B22AE9">
              <w:t>wrist watch</w:t>
            </w:r>
          </w:p>
          <w:p w:rsidR="00000000" w:rsidRPr="00B22AE9" w:rsidP="00B22AE9">
            <w:pPr>
              <w:pStyle w:val="ListBullet"/>
            </w:pPr>
            <w:r w:rsidRPr="00B22AE9">
              <w:t>ring watch</w:t>
            </w:r>
          </w:p>
          <w:p w:rsidR="00000000" w:rsidRPr="00B22AE9" w:rsidP="00B22AE9">
            <w:pPr>
              <w:pStyle w:val="ListBullet"/>
            </w:pPr>
            <w:r w:rsidRPr="00B22AE9">
              <w:t xml:space="preserve">necklace </w:t>
            </w:r>
          </w:p>
          <w:p w:rsidR="00000000" w:rsidRPr="00B22AE9" w:rsidP="00B22AE9">
            <w:pPr>
              <w:pStyle w:val="ListBullet"/>
            </w:pPr>
            <w:r w:rsidRPr="00B22AE9">
              <w:t>specialist watches</w:t>
            </w:r>
          </w:p>
          <w:p w:rsidR="00000000" w:rsidRPr="00B22AE9" w:rsidP="00B22AE9">
            <w:pPr>
              <w:pStyle w:val="ListBullet"/>
            </w:pPr>
            <w:r w:rsidRPr="00B22AE9">
              <w:t>non water-resistant (two piece case)</w:t>
            </w:r>
          </w:p>
          <w:p w:rsidR="00000000" w:rsidRPr="00B22AE9" w:rsidP="00B22AE9">
            <w:pPr>
              <w:pStyle w:val="ListBullet"/>
            </w:pPr>
            <w:r w:rsidRPr="00B22AE9">
              <w:t>non water-resistant (three piece case)</w:t>
            </w:r>
          </w:p>
          <w:p w:rsidR="00000000" w:rsidRPr="00B22AE9" w:rsidP="00B22AE9">
            <w:pPr>
              <w:pStyle w:val="ListBullet"/>
            </w:pPr>
            <w:r w:rsidRPr="00B22AE9">
              <w:t>water-resistant (two piece case)</w:t>
            </w:r>
          </w:p>
          <w:p w:rsidR="00000000" w:rsidP="00B22AE9">
            <w:pPr>
              <w:pStyle w:val="ListBullet"/>
              <w:rPr>
                <w:lang w:val="en-NZ"/>
              </w:rPr>
            </w:pPr>
            <w:r w:rsidRPr="00B22AE9">
              <w:t>monocoque (one piece case)</w:t>
            </w:r>
          </w:p>
        </w:tc>
      </w:tr>
      <w:tr w:rsidTr="00B22AE9">
        <w:tblPrEx>
          <w:tblW w:w="0" w:type="auto"/>
          <w:tblLayout w:type="fixed"/>
          <w:tblCellMar>
            <w:left w:w="62" w:type="dxa"/>
            <w:right w:w="62" w:type="dxa"/>
          </w:tblCellMar>
          <w:tblLook w:val="0000"/>
        </w:tblPrEx>
        <w:trPr>
          <w:trHeight w:val="1863"/>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Watch materials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precious metals</w:t>
            </w:r>
          </w:p>
          <w:p w:rsidR="00000000" w:rsidRPr="00B22AE9" w:rsidP="00B22AE9">
            <w:pPr>
              <w:pStyle w:val="ListBullet"/>
            </w:pPr>
            <w:r w:rsidRPr="00B22AE9">
              <w:t>stainless steel</w:t>
            </w:r>
          </w:p>
          <w:p w:rsidR="00000000" w:rsidRPr="00B22AE9" w:rsidP="00B22AE9">
            <w:pPr>
              <w:pStyle w:val="ListBullet"/>
            </w:pPr>
            <w:r w:rsidRPr="00B22AE9">
              <w:t>ceramic</w:t>
            </w:r>
          </w:p>
          <w:p w:rsidR="00000000" w:rsidRPr="00B22AE9" w:rsidP="00B22AE9">
            <w:pPr>
              <w:pStyle w:val="ListBullet"/>
            </w:pPr>
            <w:r w:rsidRPr="00B22AE9">
              <w:t xml:space="preserve">titanium </w:t>
            </w:r>
          </w:p>
          <w:p w:rsidR="00000000" w:rsidP="00B22AE9">
            <w:pPr>
              <w:pStyle w:val="ListBullet"/>
              <w:rPr>
                <w:lang w:val="en-NZ"/>
              </w:rPr>
            </w:pPr>
            <w:r w:rsidRPr="00B22AE9">
              <w:t>others</w:t>
            </w:r>
          </w:p>
        </w:tc>
      </w:tr>
      <w:tr w:rsidTr="00B22AE9">
        <w:tblPrEx>
          <w:tblW w:w="0" w:type="auto"/>
          <w:tblLayout w:type="fixed"/>
          <w:tblCellMar>
            <w:left w:w="62" w:type="dxa"/>
            <w:right w:w="62" w:type="dxa"/>
          </w:tblCellMar>
          <w:tblLook w:val="0000"/>
        </w:tblPrEx>
        <w:trPr>
          <w:trHeight w:val="2184"/>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Watch construction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case body</w:t>
            </w:r>
          </w:p>
          <w:p w:rsidR="00000000" w:rsidRPr="00B22AE9" w:rsidP="00B22AE9">
            <w:pPr>
              <w:pStyle w:val="ListBullet"/>
            </w:pPr>
            <w:r w:rsidRPr="00B22AE9">
              <w:t>bezel glass</w:t>
            </w:r>
          </w:p>
          <w:p w:rsidR="00000000" w:rsidRPr="00B22AE9" w:rsidP="00B22AE9">
            <w:pPr>
              <w:pStyle w:val="ListBullet"/>
            </w:pPr>
            <w:r w:rsidRPr="00B22AE9">
              <w:t>case back</w:t>
            </w:r>
          </w:p>
          <w:p w:rsidR="00000000" w:rsidRPr="00B22AE9" w:rsidP="00B22AE9">
            <w:pPr>
              <w:pStyle w:val="ListBullet"/>
            </w:pPr>
            <w:r w:rsidRPr="00B22AE9">
              <w:t>pushbutton</w:t>
            </w:r>
          </w:p>
          <w:p w:rsidR="00000000" w:rsidRPr="00B22AE9" w:rsidP="00B22AE9">
            <w:pPr>
              <w:pStyle w:val="ListBullet"/>
            </w:pPr>
            <w:r w:rsidRPr="00B22AE9">
              <w:t xml:space="preserve">case ring </w:t>
            </w:r>
          </w:p>
          <w:p w:rsidR="00000000" w:rsidP="00B22AE9">
            <w:pPr>
              <w:pStyle w:val="ListBullet"/>
              <w:rPr>
                <w:lang w:val="en-NZ"/>
              </w:rPr>
            </w:pPr>
            <w:r w:rsidRPr="00B22AE9">
              <w:t>gaskets</w:t>
            </w:r>
          </w:p>
        </w:tc>
      </w:tr>
      <w:tr w:rsidTr="00B22AE9">
        <w:tblPrEx>
          <w:tblW w:w="0" w:type="auto"/>
          <w:tblLayout w:type="fixed"/>
          <w:tblCellMar>
            <w:left w:w="62" w:type="dxa"/>
            <w:right w:w="62" w:type="dxa"/>
          </w:tblCellMar>
          <w:tblLook w:val="0000"/>
        </w:tblPrEx>
        <w:trPr>
          <w:trHeight w:val="1596"/>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Watch case/band condition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completeness</w:t>
            </w:r>
          </w:p>
          <w:p w:rsidR="00000000" w:rsidRPr="00B22AE9" w:rsidP="00B22AE9">
            <w:pPr>
              <w:pStyle w:val="ListBullet"/>
            </w:pPr>
            <w:r w:rsidRPr="00B22AE9">
              <w:t xml:space="preserve">scratches, dents and worn plating </w:t>
            </w:r>
          </w:p>
          <w:p w:rsidR="00000000" w:rsidRPr="00B22AE9" w:rsidP="00B22AE9">
            <w:pPr>
              <w:pStyle w:val="ListBullet"/>
            </w:pPr>
            <w:r w:rsidRPr="00B22AE9">
              <w:t>general wear and tear</w:t>
            </w:r>
          </w:p>
          <w:p w:rsidR="00000000" w:rsidP="00B22AE9">
            <w:pPr>
              <w:pStyle w:val="ListBullet"/>
              <w:rPr>
                <w:lang w:val="en-NZ"/>
              </w:rPr>
            </w:pPr>
            <w:r w:rsidRPr="00B22AE9">
              <w:t>water-resistance performance</w:t>
            </w:r>
          </w:p>
        </w:tc>
      </w:tr>
      <w:tr w:rsidTr="00B22AE9">
        <w:tblPrEx>
          <w:tblW w:w="0" w:type="auto"/>
          <w:tblLayout w:type="fixed"/>
          <w:tblCellMar>
            <w:left w:w="62" w:type="dxa"/>
            <w:right w:w="62" w:type="dxa"/>
          </w:tblCellMar>
          <w:tblLook w:val="0000"/>
        </w:tblPrEx>
        <w:trPr>
          <w:trHeight w:val="1553"/>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Recommended service procedures include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replace worn or damaged components</w:t>
            </w:r>
          </w:p>
          <w:p w:rsidR="00000000" w:rsidRPr="00B22AE9" w:rsidP="00B22AE9">
            <w:pPr>
              <w:pStyle w:val="ListBullet"/>
            </w:pPr>
            <w:r w:rsidRPr="00B22AE9">
              <w:t xml:space="preserve">repair </w:t>
            </w:r>
          </w:p>
          <w:p w:rsidR="00000000" w:rsidRPr="00B22AE9" w:rsidP="00B22AE9">
            <w:pPr>
              <w:pStyle w:val="ListBullet"/>
            </w:pPr>
            <w:r w:rsidRPr="00B22AE9">
              <w:t>refurbish</w:t>
            </w:r>
          </w:p>
          <w:p w:rsidR="00000000" w:rsidP="00B22AE9">
            <w:pPr>
              <w:pStyle w:val="ListBullet"/>
              <w:rPr>
                <w:lang w:val="en-NZ"/>
              </w:rPr>
            </w:pPr>
            <w:r w:rsidRPr="00B22AE9">
              <w:t>case refurbishment to customer requirements</w:t>
            </w:r>
          </w:p>
        </w:tc>
      </w:tr>
      <w:tr w:rsidTr="00B22AE9">
        <w:tblPrEx>
          <w:tblW w:w="0" w:type="auto"/>
          <w:tblLayout w:type="fixed"/>
          <w:tblCellMar>
            <w:left w:w="62" w:type="dxa"/>
            <w:right w:w="62" w:type="dxa"/>
          </w:tblCellMar>
          <w:tblLook w:val="0000"/>
        </w:tblPrEx>
        <w:trPr>
          <w:trHeight w:val="1210"/>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Record and document repair includes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 xml:space="preserve">extent and date of repair </w:t>
            </w:r>
          </w:p>
          <w:p w:rsidR="00000000" w:rsidRPr="00B22AE9" w:rsidP="00B22AE9">
            <w:pPr>
              <w:pStyle w:val="ListBullet"/>
            </w:pPr>
            <w:r w:rsidRPr="00B22AE9">
              <w:t>cost of replacement parts</w:t>
            </w:r>
          </w:p>
          <w:p w:rsidR="00000000" w:rsidP="00B22AE9">
            <w:pPr>
              <w:pStyle w:val="ListBullet"/>
              <w:rPr>
                <w:lang w:val="en-NZ"/>
              </w:rPr>
            </w:pPr>
            <w:r w:rsidRPr="00B22AE9">
              <w:t xml:space="preserve">time spent on procedure </w:t>
            </w:r>
          </w:p>
        </w:tc>
      </w:tr>
      <w:tr w:rsidTr="00B22AE9">
        <w:tblPrEx>
          <w:tblW w:w="0" w:type="auto"/>
          <w:tblLayout w:type="fixed"/>
          <w:tblCellMar>
            <w:left w:w="62" w:type="dxa"/>
            <w:right w:w="62" w:type="dxa"/>
          </w:tblCellMar>
          <w:tblLook w:val="0000"/>
        </w:tblPrEx>
        <w:trPr>
          <w:trHeight w:val="1874"/>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Appropriate working environment includes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clean bench and working area</w:t>
            </w:r>
          </w:p>
          <w:p w:rsidR="00000000" w:rsidRPr="00B22AE9" w:rsidP="00B22AE9">
            <w:pPr>
              <w:pStyle w:val="ListBullet"/>
            </w:pPr>
            <w:r w:rsidRPr="00B22AE9">
              <w:t>adequate lighting and ventilation</w:t>
            </w:r>
          </w:p>
          <w:p w:rsidR="00000000" w:rsidRPr="00B22AE9" w:rsidP="00B22AE9">
            <w:pPr>
              <w:pStyle w:val="ListBullet"/>
            </w:pPr>
            <w:r w:rsidRPr="00B22AE9">
              <w:t>tools and equipment organised and in good condition</w:t>
            </w:r>
          </w:p>
          <w:p w:rsidR="00000000" w:rsidRPr="00B22AE9" w:rsidP="00B22AE9">
            <w:pPr>
              <w:pStyle w:val="ListBullet"/>
            </w:pPr>
            <w:r w:rsidRPr="00B22AE9">
              <w:t>ergonomic seating</w:t>
            </w:r>
          </w:p>
          <w:p w:rsidR="00000000" w:rsidP="00B22AE9">
            <w:pPr>
              <w:pStyle w:val="ListBullet"/>
              <w:rPr>
                <w:lang w:val="en-NZ"/>
              </w:rPr>
            </w:pPr>
            <w:r w:rsidRPr="00B22AE9">
              <w:t>dust extraction</w:t>
            </w:r>
          </w:p>
        </w:tc>
      </w:tr>
      <w:tr w:rsidTr="00B22AE9">
        <w:tblPrEx>
          <w:tblW w:w="0" w:type="auto"/>
          <w:tblLayout w:type="fixed"/>
          <w:tblCellMar>
            <w:left w:w="62" w:type="dxa"/>
            <w:right w:w="62" w:type="dxa"/>
          </w:tblCellMar>
          <w:tblLook w:val="0000"/>
        </w:tblPrEx>
        <w:trPr>
          <w:trHeight w:val="3211"/>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Case components and movement sub-assemblies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glass</w:t>
            </w:r>
          </w:p>
          <w:p w:rsidR="00000000" w:rsidRPr="00B22AE9" w:rsidP="00B22AE9">
            <w:pPr>
              <w:pStyle w:val="ListBullet"/>
            </w:pPr>
            <w:r w:rsidRPr="00B22AE9">
              <w:t>spring fit</w:t>
            </w:r>
          </w:p>
          <w:p w:rsidR="00000000" w:rsidRPr="00B22AE9" w:rsidP="00B22AE9">
            <w:pPr>
              <w:pStyle w:val="ListBullet"/>
            </w:pPr>
            <w:r w:rsidRPr="00B22AE9">
              <w:t>armoured</w:t>
            </w:r>
          </w:p>
          <w:p w:rsidR="00000000" w:rsidRPr="00B22AE9" w:rsidP="00B22AE9">
            <w:pPr>
              <w:pStyle w:val="ListBullet"/>
            </w:pPr>
            <w:r w:rsidRPr="00B22AE9">
              <w:t xml:space="preserve">mineral and sapphire </w:t>
            </w:r>
          </w:p>
          <w:p w:rsidR="00000000" w:rsidRPr="00B22AE9" w:rsidP="00B22AE9">
            <w:pPr>
              <w:pStyle w:val="ListBullet"/>
            </w:pPr>
            <w:r w:rsidRPr="00B22AE9">
              <w:t xml:space="preserve">bezel </w:t>
            </w:r>
          </w:p>
          <w:p w:rsidR="00000000" w:rsidRPr="00B22AE9" w:rsidP="00B22AE9">
            <w:pPr>
              <w:pStyle w:val="ListBullet"/>
            </w:pPr>
            <w:r w:rsidRPr="00B22AE9">
              <w:t>case back and gaskets</w:t>
            </w:r>
          </w:p>
          <w:p w:rsidR="00000000" w:rsidRPr="00B22AE9" w:rsidP="00B22AE9">
            <w:pPr>
              <w:pStyle w:val="ListBullet"/>
            </w:pPr>
            <w:r w:rsidRPr="00B22AE9">
              <w:t>crown</w:t>
            </w:r>
          </w:p>
          <w:p w:rsidR="00000000" w:rsidRPr="00B22AE9" w:rsidP="00B22AE9">
            <w:pPr>
              <w:pStyle w:val="ListBullet"/>
            </w:pPr>
            <w:r w:rsidRPr="00B22AE9">
              <w:t>pendant (friction fit or screwed)</w:t>
            </w:r>
          </w:p>
          <w:p w:rsidR="00000000" w:rsidP="00B22AE9">
            <w:pPr>
              <w:pStyle w:val="ListBullet"/>
              <w:rPr>
                <w:lang w:val="en-NZ"/>
              </w:rPr>
            </w:pPr>
            <w:r w:rsidRPr="00B22AE9">
              <w:t>gaskets</w:t>
            </w:r>
          </w:p>
        </w:tc>
      </w:tr>
      <w:tr w:rsidTr="00B22AE9">
        <w:tblPrEx>
          <w:tblW w:w="0" w:type="auto"/>
          <w:tblLayout w:type="fixed"/>
          <w:tblCellMar>
            <w:left w:w="62" w:type="dxa"/>
            <w:right w:w="62" w:type="dxa"/>
          </w:tblCellMar>
          <w:tblLook w:val="0000"/>
        </w:tblPrEx>
        <w:trPr>
          <w:trHeight w:val="1970"/>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Inspect condition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originality of components</w:t>
            </w:r>
          </w:p>
          <w:p w:rsidR="00000000" w:rsidRPr="00B22AE9" w:rsidP="00B22AE9">
            <w:pPr>
              <w:pStyle w:val="ListBullet"/>
            </w:pPr>
            <w:r w:rsidRPr="00B22AE9">
              <w:t>cleanliness</w:t>
            </w:r>
          </w:p>
          <w:p w:rsidR="00000000" w:rsidRPr="00B22AE9" w:rsidP="00B22AE9">
            <w:pPr>
              <w:pStyle w:val="ListBullet"/>
            </w:pPr>
            <w:r w:rsidRPr="00B22AE9">
              <w:t xml:space="preserve">wear </w:t>
            </w:r>
          </w:p>
          <w:p w:rsidR="00000000" w:rsidRPr="00B22AE9" w:rsidP="00B22AE9">
            <w:pPr>
              <w:pStyle w:val="ListBullet"/>
            </w:pPr>
            <w:r w:rsidRPr="00B22AE9">
              <w:t>damage</w:t>
            </w:r>
          </w:p>
          <w:p w:rsidR="00000000" w:rsidP="00B22AE9">
            <w:pPr>
              <w:pStyle w:val="ListBullet"/>
              <w:rPr>
                <w:lang w:val="en-NZ"/>
              </w:rPr>
            </w:pPr>
            <w:r w:rsidRPr="00B22AE9">
              <w:t>corrosion</w:t>
            </w:r>
          </w:p>
        </w:tc>
      </w:tr>
      <w:tr w:rsidTr="00B22AE9">
        <w:tblPrEx>
          <w:tblW w:w="0" w:type="auto"/>
          <w:tblLayout w:type="fixed"/>
          <w:tblCellMar>
            <w:left w:w="62" w:type="dxa"/>
            <w:right w:w="62" w:type="dxa"/>
          </w:tblCellMar>
          <w:tblLook w:val="0000"/>
        </w:tblPrEx>
        <w:trPr>
          <w:trHeight w:val="2580"/>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Watch case assembly inspections and precautions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use plastic protection whilst opening and closing</w:t>
            </w:r>
          </w:p>
          <w:p w:rsidR="00000000" w:rsidRPr="00B22AE9" w:rsidP="00B22AE9">
            <w:pPr>
              <w:pStyle w:val="ListBullet"/>
            </w:pPr>
            <w:r w:rsidRPr="00B22AE9">
              <w:t xml:space="preserve">alignment of components </w:t>
            </w:r>
          </w:p>
          <w:p w:rsidR="00000000" w:rsidRPr="00B22AE9" w:rsidP="00B22AE9">
            <w:pPr>
              <w:pStyle w:val="ListBullet"/>
            </w:pPr>
            <w:r w:rsidRPr="00B22AE9">
              <w:t xml:space="preserve">security of pendants </w:t>
            </w:r>
          </w:p>
          <w:p w:rsidR="00000000" w:rsidRPr="00B22AE9" w:rsidP="00B22AE9">
            <w:pPr>
              <w:pStyle w:val="ListBullet"/>
            </w:pPr>
            <w:r w:rsidRPr="00B22AE9">
              <w:t xml:space="preserve">pushbutton operation </w:t>
            </w:r>
          </w:p>
          <w:p w:rsidR="00000000" w:rsidRPr="00B22AE9" w:rsidP="00B22AE9">
            <w:pPr>
              <w:pStyle w:val="ListBullet"/>
            </w:pPr>
            <w:r w:rsidRPr="00B22AE9">
              <w:t>screw crowns and stem length</w:t>
            </w:r>
          </w:p>
          <w:p w:rsidR="00000000" w:rsidRPr="00B22AE9" w:rsidP="00B22AE9">
            <w:pPr>
              <w:pStyle w:val="ListBullet"/>
            </w:pPr>
            <w:r w:rsidRPr="00B22AE9">
              <w:t>damage to stem when securing crown</w:t>
            </w:r>
          </w:p>
          <w:p w:rsidR="00000000" w:rsidP="00B22AE9">
            <w:pPr>
              <w:pStyle w:val="ListBullet"/>
              <w:rPr>
                <w:lang w:val="en-NZ"/>
              </w:rPr>
            </w:pPr>
            <w:r w:rsidRPr="00B22AE9">
              <w:t>cleanliness</w:t>
            </w:r>
          </w:p>
        </w:tc>
      </w:tr>
      <w:tr w:rsidTr="00B22AE9">
        <w:tblPrEx>
          <w:tblW w:w="0" w:type="auto"/>
          <w:tblLayout w:type="fixed"/>
          <w:tblCellMar>
            <w:left w:w="62" w:type="dxa"/>
            <w:right w:w="62" w:type="dxa"/>
          </w:tblCellMar>
          <w:tblLook w:val="0000"/>
        </w:tblPrEx>
        <w:trPr>
          <w:trHeight w:val="1371"/>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Water-resistance rating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minimum standard of 20 metres, or additionally to 30 metres and 50 metres</w:t>
            </w:r>
          </w:p>
          <w:p w:rsidR="00000000" w:rsidP="00B22AE9">
            <w:pPr>
              <w:pStyle w:val="ListBullet"/>
              <w:rPr>
                <w:lang w:val="en-NZ"/>
              </w:rPr>
            </w:pPr>
            <w:r w:rsidRPr="00B22AE9">
              <w:t>minimum standards for divers watch of 100 metres or up to 3000 metres</w:t>
            </w:r>
          </w:p>
        </w:tc>
      </w:tr>
      <w:tr w:rsidTr="00B22AE9">
        <w:tblPrEx>
          <w:tblW w:w="0" w:type="auto"/>
          <w:tblLayout w:type="fixed"/>
          <w:tblCellMar>
            <w:left w:w="62" w:type="dxa"/>
            <w:right w:w="62" w:type="dxa"/>
          </w:tblCellMar>
          <w:tblLook w:val="0000"/>
        </w:tblPrEx>
        <w:trPr>
          <w:trHeight w:val="2205"/>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Methods to test water-resistance include on</w:t>
            </w:r>
            <w:r w:rsidRPr="00B22AE9">
              <w:rPr>
                <w:rStyle w:val="SpecialBold"/>
              </w:rPr>
              <w:t>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 xml:space="preserve">vacuum </w:t>
            </w:r>
          </w:p>
          <w:p w:rsidR="00000000" w:rsidRPr="00B22AE9" w:rsidP="00B22AE9">
            <w:pPr>
              <w:pStyle w:val="ListBullet"/>
            </w:pPr>
            <w:r w:rsidRPr="00B22AE9">
              <w:t>over pressure</w:t>
            </w:r>
          </w:p>
          <w:p w:rsidR="00000000" w:rsidRPr="00B22AE9" w:rsidP="00B22AE9">
            <w:pPr>
              <w:pStyle w:val="ListBullet"/>
            </w:pPr>
            <w:r w:rsidRPr="00B22AE9">
              <w:t xml:space="preserve">combined test </w:t>
            </w:r>
          </w:p>
          <w:p w:rsidR="00000000" w:rsidRPr="00B22AE9" w:rsidP="00B22AE9">
            <w:pPr>
              <w:pStyle w:val="ListBullet"/>
            </w:pPr>
            <w:r w:rsidRPr="00B22AE9">
              <w:t>water immersion method</w:t>
            </w:r>
          </w:p>
          <w:p w:rsidR="00000000" w:rsidRPr="00B22AE9" w:rsidP="00B22AE9">
            <w:pPr>
              <w:pStyle w:val="ListBullet"/>
            </w:pPr>
            <w:r w:rsidRPr="00B22AE9">
              <w:t>air leak method</w:t>
            </w:r>
          </w:p>
          <w:p w:rsidR="00000000" w:rsidP="00B22AE9">
            <w:pPr>
              <w:pStyle w:val="ListBullet"/>
              <w:rPr>
                <w:lang w:val="en-NZ"/>
              </w:rPr>
            </w:pPr>
            <w:r w:rsidRPr="00B22AE9">
              <w:t xml:space="preserve">condensation test </w:t>
            </w:r>
          </w:p>
        </w:tc>
      </w:tr>
      <w:tr w:rsidTr="00B22AE9">
        <w:tblPrEx>
          <w:tblW w:w="0" w:type="auto"/>
          <w:tblLayout w:type="fixed"/>
          <w:tblCellMar>
            <w:left w:w="62" w:type="dxa"/>
            <w:right w:w="62" w:type="dxa"/>
          </w:tblCellMar>
          <w:tblLook w:val="0000"/>
        </w:tblPrEx>
        <w:trPr>
          <w:trHeight w:val="2205"/>
        </w:trPr>
        <w:tc>
          <w:tcPr>
            <w:tcW w:w="2641" w:type="dxa"/>
            <w:tcBorders>
              <w:top w:val="nil"/>
              <w:left w:val="nil"/>
              <w:bottom w:val="nil"/>
              <w:right w:val="nil"/>
            </w:tcBorders>
            <w:tcMar>
              <w:top w:w="0" w:type="dxa"/>
              <w:left w:w="62" w:type="dxa"/>
              <w:bottom w:w="0" w:type="dxa"/>
              <w:right w:w="62" w:type="dxa"/>
            </w:tcMar>
          </w:tcPr>
          <w:p w:rsidR="00000000" w:rsidP="00B22AE9">
            <w:pPr>
              <w:pStyle w:val="BodyText"/>
              <w:rPr>
                <w:lang w:val="en-NZ"/>
              </w:rPr>
            </w:pPr>
            <w:r w:rsidRPr="00B22AE9">
              <w:rPr>
                <w:rStyle w:val="SpecialBold"/>
              </w:rPr>
              <w:t>Hand tools and equipment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B22AE9" w:rsidP="00B22AE9">
            <w:pPr>
              <w:pStyle w:val="ListBullet"/>
            </w:pPr>
            <w:r w:rsidRPr="00B22AE9">
              <w:t xml:space="preserve">pin vices and case holders </w:t>
            </w:r>
          </w:p>
          <w:p w:rsidR="00000000" w:rsidRPr="00B22AE9" w:rsidP="00B22AE9">
            <w:pPr>
              <w:pStyle w:val="ListBullet"/>
            </w:pPr>
            <w:r w:rsidRPr="00B22AE9">
              <w:t>case opening and closing tools</w:t>
            </w:r>
          </w:p>
          <w:p w:rsidR="00000000" w:rsidRPr="00B22AE9" w:rsidP="00B22AE9">
            <w:pPr>
              <w:pStyle w:val="ListBullet"/>
            </w:pPr>
            <w:r w:rsidRPr="00B22AE9">
              <w:t>glass press and vigor tool</w:t>
            </w:r>
          </w:p>
          <w:p w:rsidR="00000000" w:rsidRPr="00B22AE9" w:rsidP="00B22AE9">
            <w:pPr>
              <w:pStyle w:val="ListBullet"/>
            </w:pPr>
            <w:r w:rsidRPr="00B22AE9">
              <w:t xml:space="preserve">adhesives </w:t>
            </w:r>
          </w:p>
          <w:p w:rsidR="00000000" w:rsidRPr="00B22AE9" w:rsidP="00B22AE9">
            <w:pPr>
              <w:pStyle w:val="ListBullet"/>
            </w:pPr>
            <w:r w:rsidRPr="00B22AE9">
              <w:t>polishing machines and various grades of buff wheels</w:t>
            </w:r>
          </w:p>
          <w:p w:rsidR="00000000" w:rsidRPr="00B22AE9" w:rsidP="00B22AE9">
            <w:pPr>
              <w:pStyle w:val="ListBullet"/>
            </w:pPr>
            <w:r w:rsidRPr="00B22AE9">
              <w:t>polishing and graining (3M media in various grades)</w:t>
            </w:r>
          </w:p>
        </w:tc>
      </w:tr>
    </w:tbl>
    <w:p w:rsidR="00000000" w:rsidRPr="00B22AE9" w:rsidP="00B22AE9">
      <w:pPr>
        <w:pStyle w:val="BodyText"/>
      </w:pPr>
    </w:p>
    <w:p w:rsidR="00000000" w:rsidRPr="00B22AE9" w:rsidP="00B22AE9">
      <w:pPr>
        <w:pStyle w:val="AllowPageBreak"/>
      </w:pPr>
    </w:p>
    <w:p w:rsidR="00000000" w:rsidRPr="00B22AE9" w:rsidP="00B22AE9">
      <w:pPr>
        <w:pStyle w:val="Heading1"/>
      </w:pPr>
      <w:bookmarkStart w:id="8" w:name="O_951161"/>
      <w:bookmarkEnd w:id="8"/>
      <w:r w:rsidRPr="00B22AE9">
        <w:t>Unit Mapping Information</w:t>
      </w:r>
    </w:p>
    <w:p w:rsidR="00000000" w:rsidRPr="00B22AE9" w:rsidP="006E57F5">
      <w:pPr>
        <w:pStyle w:val="BodyText"/>
      </w:pPr>
      <w:r w:rsidRPr="00B22AE9">
        <w:t xml:space="preserve">Release 1. Supersedes and is equivalent to MEM21003A Perform watch case servicing, repair and refurbishment </w:t>
      </w:r>
    </w:p>
    <w:p w:rsidR="00000000" w:rsidRPr="00B22AE9" w:rsidP="00B22AE9">
      <w:pPr>
        <w:pStyle w:val="Heading1"/>
      </w:pPr>
      <w:bookmarkStart w:id="9" w:name="O_951154"/>
      <w:bookmarkEnd w:id="9"/>
      <w:r w:rsidRPr="00B22AE9">
        <w:t>Links</w:t>
      </w:r>
    </w:p>
    <w:p w:rsidR="00000000" w:rsidRPr="00B22AE9" w:rsidP="006E57F5">
      <w:pPr>
        <w:pStyle w:val="BodyText"/>
      </w:pPr>
      <w:r w:rsidRPr="00B22AE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B5004">
        <w:rPr>
          <w:rStyle w:val="Hyperlink"/>
        </w:rPr>
        <w:t>https://vetnet.gov.au/Pages/TrainingDocs.aspx?q=b7050d37-5fd0-4740-8f7d-3b7a49c10bb2</w:t>
      </w:r>
      <w:r>
        <w:fldChar w:fldCharType="end"/>
      </w:r>
    </w:p>
    <w:p w:rsidR="00000000" w:rsidRPr="00B22AE9" w:rsidP="006E57F5">
      <w:pPr>
        <w:pStyle w:val="BodyText"/>
        <w:sectPr w:rsidSect="00B22AE9">
          <w:headerReference w:type="default" r:id="rId10"/>
          <w:footerReference w:type="default" r:id="rId11"/>
          <w:pgSz w:w="11908" w:h="16833"/>
          <w:pgMar w:top="1702" w:right="1418" w:bottom="1702" w:left="1418" w:header="992" w:footer="992" w:gutter="0"/>
          <w:cols w:space="720"/>
          <w:noEndnote/>
          <w:docGrid w:linePitch="299"/>
        </w:sectPr>
      </w:pPr>
    </w:p>
    <w:p w:rsidR="00000000" w:rsidRPr="00B22AE9" w:rsidP="00B22AE9">
      <w:pPr>
        <w:pStyle w:val="SuperHeading"/>
      </w:pPr>
      <w:r w:rsidRPr="00B22AE9">
        <w:t>Assessment Requirements for MEM21003 Perform watch case servicing, repair and refurbishment</w:t>
      </w:r>
    </w:p>
    <w:p w:rsidR="00000000" w:rsidRPr="00B22AE9" w:rsidP="00B22AE9">
      <w:pPr>
        <w:pStyle w:val="Heading1"/>
      </w:pPr>
      <w:bookmarkStart w:id="10" w:name="O_951156"/>
      <w:bookmarkEnd w:id="10"/>
      <w:r w:rsidRPr="00B22AE9">
        <w:t>Modification History</w:t>
      </w:r>
    </w:p>
    <w:p w:rsidR="00000000" w:rsidRPr="00B22AE9" w:rsidP="006E57F5">
      <w:pPr>
        <w:pStyle w:val="BodyText"/>
      </w:pPr>
      <w:r w:rsidRPr="00B22AE9">
        <w:t>Release 1. Supersedes and is equivalent to MEM21003A Perfo</w:t>
      </w:r>
      <w:r w:rsidRPr="00B22AE9">
        <w:t xml:space="preserve">rm watch case servicing, repair and refurbishment </w:t>
      </w:r>
    </w:p>
    <w:p w:rsidR="00000000" w:rsidRPr="00B22AE9" w:rsidP="00B22AE9">
      <w:pPr>
        <w:pStyle w:val="Heading1"/>
      </w:pPr>
      <w:bookmarkStart w:id="11" w:name="O_951159"/>
      <w:bookmarkEnd w:id="11"/>
      <w:r w:rsidRPr="00B22AE9">
        <w:t>Performance Evidence</w:t>
      </w:r>
    </w:p>
    <w:p w:rsidR="00000000" w:rsidRPr="00B22AE9" w:rsidP="006E57F5">
      <w:pPr>
        <w:pStyle w:val="BodyText"/>
      </w:pPr>
      <w:r w:rsidRPr="00B22AE9">
        <w:t xml:space="preserve">Evidence required to demonstrate competence in this unit must be relevant to and satisfy the requirements of the elements and performance criteria on at least two (2) </w:t>
      </w:r>
      <w:r w:rsidRPr="00B22AE9">
        <w:t>occasions and include:</w:t>
      </w:r>
    </w:p>
    <w:p w:rsidR="00000000" w:rsidRPr="00B22AE9" w:rsidP="00B22AE9">
      <w:pPr>
        <w:pStyle w:val="ListBullet"/>
      </w:pPr>
      <w:r w:rsidRPr="00B22AE9">
        <w:t xml:space="preserve">following work instructions, standard operating procedures (SOPs) and safe work practices </w:t>
      </w:r>
    </w:p>
    <w:p w:rsidR="00000000" w:rsidRPr="00B22AE9" w:rsidP="00B22AE9">
      <w:pPr>
        <w:pStyle w:val="ListBullet"/>
      </w:pPr>
      <w:r w:rsidRPr="00B22AE9">
        <w:t>liaising with customer and verifying condition and performance, identifying repair costs and recording and documenting service/repair process</w:t>
      </w:r>
    </w:p>
    <w:p w:rsidR="00000000" w:rsidRPr="00B22AE9" w:rsidP="00B22AE9">
      <w:pPr>
        <w:pStyle w:val="ListBullet"/>
      </w:pPr>
      <w:r w:rsidRPr="00B22AE9">
        <w:t xml:space="preserve">servicing, inspecting, repairing and replacing watch case components in an appropriate work environment </w:t>
      </w:r>
    </w:p>
    <w:p w:rsidR="00000000" w:rsidRPr="00B22AE9" w:rsidP="00B22AE9">
      <w:pPr>
        <w:pStyle w:val="ListBullet"/>
      </w:pPr>
      <w:r w:rsidRPr="00B22AE9">
        <w:t>selecting and using appropriate workshop tools, equipment and media for watch case servicing, polishing and graining</w:t>
      </w:r>
    </w:p>
    <w:p w:rsidR="00000000" w:rsidRPr="00B22AE9" w:rsidP="00B22AE9">
      <w:pPr>
        <w:pStyle w:val="ListBullet"/>
      </w:pPr>
      <w:r w:rsidRPr="00B22AE9">
        <w:t xml:space="preserve">determining and conducting appropriate tests for water-resistant watches </w:t>
      </w:r>
    </w:p>
    <w:p w:rsidR="00000000" w:rsidRPr="00B22AE9" w:rsidP="00B22AE9">
      <w:pPr>
        <w:pStyle w:val="ListBullet"/>
      </w:pPr>
      <w:r w:rsidRPr="00B22AE9">
        <w:t>safely cleaning watch cases and bands.</w:t>
      </w:r>
    </w:p>
    <w:p w:rsidR="00000000" w:rsidRPr="00B22AE9" w:rsidP="00B22AE9">
      <w:pPr>
        <w:pStyle w:val="AllowPageBreak"/>
      </w:pPr>
    </w:p>
    <w:p w:rsidR="00000000" w:rsidRPr="00B22AE9" w:rsidP="00B22AE9">
      <w:pPr>
        <w:pStyle w:val="Heading1"/>
      </w:pPr>
      <w:bookmarkStart w:id="12" w:name="O_951158"/>
      <w:bookmarkEnd w:id="12"/>
      <w:r w:rsidRPr="00B22AE9">
        <w:t>Knowledge Evidence</w:t>
      </w:r>
    </w:p>
    <w:p w:rsidR="00000000" w:rsidRPr="00B22AE9" w:rsidP="006E57F5">
      <w:pPr>
        <w:pStyle w:val="BodyText"/>
      </w:pPr>
      <w:r w:rsidRPr="00B22AE9">
        <w:t>Evidence required to demonstrate the required knowledge for this unit must be relevant to and satisfy the r</w:t>
      </w:r>
      <w:r w:rsidRPr="00B22AE9">
        <w:t>equirements of the elements and performance criteria and include knowledge of:</w:t>
      </w:r>
    </w:p>
    <w:p w:rsidR="00000000" w:rsidRPr="00B22AE9" w:rsidP="00B22AE9">
      <w:pPr>
        <w:pStyle w:val="ListBullet"/>
      </w:pPr>
      <w:r w:rsidRPr="00B22AE9">
        <w:t>safe work practices and procedures and use of personal protective equipment (PPE)</w:t>
      </w:r>
    </w:p>
    <w:p w:rsidR="00000000" w:rsidRPr="00B22AE9" w:rsidP="00B22AE9">
      <w:pPr>
        <w:pStyle w:val="ListBullet"/>
      </w:pPr>
      <w:r w:rsidRPr="00B22AE9">
        <w:t>types of construction of watch cases by style, design, material and quality</w:t>
      </w:r>
    </w:p>
    <w:p w:rsidR="00000000" w:rsidRPr="00B22AE9" w:rsidP="00B22AE9">
      <w:pPr>
        <w:pStyle w:val="ListBullet"/>
      </w:pPr>
      <w:r w:rsidRPr="00B22AE9">
        <w:t>types of watch gla</w:t>
      </w:r>
      <w:r w:rsidRPr="00B22AE9">
        <w:t>ss materials, construction and fitting procedures, including use of adhesives, as required</w:t>
      </w:r>
    </w:p>
    <w:p w:rsidR="00000000" w:rsidRPr="00B22AE9" w:rsidP="00B22AE9">
      <w:pPr>
        <w:pStyle w:val="ListBullet"/>
      </w:pPr>
      <w:r w:rsidRPr="00B22AE9">
        <w:t>types of crown construction by style, design, material and quality</w:t>
      </w:r>
    </w:p>
    <w:p w:rsidR="00000000" w:rsidRPr="00B22AE9" w:rsidP="00B22AE9">
      <w:pPr>
        <w:pStyle w:val="ListBullet"/>
      </w:pPr>
      <w:r w:rsidRPr="00B22AE9">
        <w:t>types of case gasket materials and construction fitting procedures</w:t>
      </w:r>
    </w:p>
    <w:p w:rsidR="00000000" w:rsidRPr="00B22AE9" w:rsidP="00B22AE9">
      <w:pPr>
        <w:pStyle w:val="ListBullet"/>
      </w:pPr>
      <w:r w:rsidRPr="00B22AE9">
        <w:t>types of crown styles, material</w:t>
      </w:r>
      <w:r w:rsidRPr="00B22AE9">
        <w:t>s and construction</w:t>
      </w:r>
    </w:p>
    <w:p w:rsidR="00000000" w:rsidRPr="00B22AE9" w:rsidP="00B22AE9">
      <w:pPr>
        <w:pStyle w:val="ListBullet"/>
      </w:pPr>
      <w:r w:rsidRPr="00B22AE9">
        <w:t>types of pushbutton construction</w:t>
      </w:r>
    </w:p>
    <w:p w:rsidR="00000000" w:rsidRPr="00B22AE9" w:rsidP="00B22AE9">
      <w:pPr>
        <w:pStyle w:val="ListBullet"/>
      </w:pPr>
      <w:r w:rsidRPr="00B22AE9">
        <w:t>standards for water-resistance ratings</w:t>
      </w:r>
    </w:p>
    <w:p w:rsidR="00000000" w:rsidRPr="00B22AE9" w:rsidP="00B22AE9">
      <w:pPr>
        <w:pStyle w:val="ListBullet"/>
      </w:pPr>
      <w:r w:rsidRPr="00B22AE9">
        <w:t xml:space="preserve">standards for water-resistance testing methods </w:t>
      </w:r>
    </w:p>
    <w:p w:rsidR="00000000" w:rsidRPr="00B22AE9" w:rsidP="00B22AE9">
      <w:pPr>
        <w:pStyle w:val="ListBullet"/>
      </w:pPr>
      <w:r w:rsidRPr="00B22AE9">
        <w:t>procedures for testing water-resistant and divers watches</w:t>
      </w:r>
    </w:p>
    <w:p w:rsidR="00000000" w:rsidRPr="00B22AE9" w:rsidP="00B22AE9">
      <w:pPr>
        <w:pStyle w:val="ListBullet"/>
      </w:pPr>
      <w:r w:rsidRPr="00B22AE9">
        <w:t>function and operating principles for water-resistance test</w:t>
      </w:r>
      <w:r w:rsidRPr="00B22AE9">
        <w:t>ing</w:t>
      </w:r>
    </w:p>
    <w:p w:rsidR="00000000" w:rsidRPr="00B22AE9" w:rsidP="00B22AE9">
      <w:pPr>
        <w:pStyle w:val="ListBullet"/>
      </w:pPr>
      <w:r w:rsidRPr="00B22AE9">
        <w:t>tools and equipment for servicing watch cases and components</w:t>
      </w:r>
    </w:p>
    <w:p w:rsidR="00000000" w:rsidRPr="00B22AE9" w:rsidP="00B22AE9">
      <w:pPr>
        <w:pStyle w:val="ListBullet"/>
      </w:pPr>
      <w:r w:rsidRPr="00B22AE9">
        <w:t>watch case cleaning methods</w:t>
      </w:r>
    </w:p>
    <w:p w:rsidR="00000000" w:rsidRPr="00B22AE9" w:rsidP="00B22AE9">
      <w:pPr>
        <w:pStyle w:val="ListBullet"/>
      </w:pPr>
      <w:r w:rsidRPr="00B22AE9">
        <w:t>types of band construction, components and materials.</w:t>
      </w:r>
    </w:p>
    <w:p w:rsidR="00000000" w:rsidRPr="00B22AE9" w:rsidP="00B22AE9">
      <w:pPr>
        <w:pStyle w:val="AllowPageBreak"/>
      </w:pPr>
    </w:p>
    <w:p w:rsidR="00000000" w:rsidRPr="00B22AE9" w:rsidP="00B22AE9">
      <w:pPr>
        <w:pStyle w:val="Heading1"/>
      </w:pPr>
      <w:bookmarkStart w:id="13" w:name="O_951157"/>
      <w:bookmarkEnd w:id="13"/>
      <w:r w:rsidRPr="00B22AE9">
        <w:t>Assessment Conditions</w:t>
      </w:r>
    </w:p>
    <w:p w:rsidR="00000000" w:rsidRPr="00B22AE9" w:rsidP="00B22AE9">
      <w:pPr>
        <w:pStyle w:val="ListBullet"/>
      </w:pPr>
      <w:r w:rsidRPr="00B22AE9">
        <w:t>Assessors must:</w:t>
      </w:r>
    </w:p>
    <w:p w:rsidR="00000000" w:rsidRPr="00B22AE9" w:rsidP="00B22AE9">
      <w:pPr>
        <w:pStyle w:val="ListBullet2"/>
      </w:pPr>
      <w:r w:rsidRPr="00B22AE9">
        <w:t>have vocational competency in performing watch case servicing, repair and refurbishment at least to the level being assessed with relevant industry knowledge and experience</w:t>
      </w:r>
    </w:p>
    <w:p w:rsidR="00000000" w:rsidRPr="00B22AE9" w:rsidP="00B22AE9">
      <w:pPr>
        <w:pStyle w:val="ListBullet2"/>
      </w:pPr>
      <w:r w:rsidRPr="00B22AE9">
        <w:t xml:space="preserve">satisfy the assessor requirements in the </w:t>
      </w:r>
      <w:r w:rsidRPr="00B22AE9">
        <w:rPr>
          <w:rStyle w:val="Emphasis"/>
        </w:rPr>
        <w:t>Standards for Registered Training Organisa</w:t>
      </w:r>
      <w:r w:rsidRPr="00B22AE9">
        <w:rPr>
          <w:rStyle w:val="Emphasis"/>
        </w:rPr>
        <w:t xml:space="preserve">tions 2015 </w:t>
      </w:r>
      <w:r w:rsidRPr="00B22AE9">
        <w:t>or its replacement</w:t>
      </w:r>
      <w:r w:rsidRPr="00B22AE9">
        <w:rPr>
          <w:rStyle w:val="Emphasis"/>
        </w:rPr>
        <w:t xml:space="preserve"> </w:t>
      </w:r>
      <w:r w:rsidRPr="00B22AE9">
        <w:t xml:space="preserve">and comply with the </w:t>
      </w:r>
      <w:r w:rsidRPr="00B22AE9">
        <w:rPr>
          <w:rStyle w:val="Emphasis"/>
        </w:rPr>
        <w:t xml:space="preserve">National Vocational Education and Training Regulator Act 2011, </w:t>
      </w:r>
      <w:r w:rsidRPr="00B22AE9">
        <w:t>its replacement</w:t>
      </w:r>
      <w:r w:rsidRPr="00B22AE9">
        <w:rPr>
          <w:rStyle w:val="Emphasis"/>
        </w:rPr>
        <w:t xml:space="preserve"> </w:t>
      </w:r>
      <w:r w:rsidRPr="00B22AE9">
        <w:t>or equivalent legislation covering VET regulation in a non-referring state/territory as the case requires</w:t>
      </w:r>
    </w:p>
    <w:p w:rsidR="00000000" w:rsidRPr="00B22AE9" w:rsidP="00B22AE9">
      <w:pPr>
        <w:pStyle w:val="ListBullet"/>
      </w:pPr>
      <w:r w:rsidRPr="00B22AE9">
        <w:t>Where possible asses</w:t>
      </w:r>
      <w:r w:rsidRPr="00B22AE9">
        <w:t>sment must occur in operational workplace situations. Where this is not possible or where personal safety or environmental damage are limiting factors, assessment must occur in a sufficiently rigorous simulated environment that reflects realistic operation</w:t>
      </w:r>
      <w:r w:rsidRPr="00B22AE9">
        <w:t>al workplace conditions. This must cover all aspects of workplace performance, including environment, task skills, task management skills, contingency management skills and job role environment skills</w:t>
      </w:r>
    </w:p>
    <w:p w:rsidR="00000000" w:rsidRPr="00B22AE9" w:rsidP="00B22AE9">
      <w:pPr>
        <w:pStyle w:val="ListBullet"/>
      </w:pPr>
      <w:r w:rsidRPr="00B22AE9">
        <w:t>Conditions for assessment must include access to all to</w:t>
      </w:r>
      <w:r w:rsidRPr="00B22AE9">
        <w:t>ols, equipment, materials and documentation required, including relevant workplace procedures, product and manufacturing specifications</w:t>
      </w:r>
    </w:p>
    <w:p w:rsidR="00000000" w:rsidRPr="00B22AE9" w:rsidP="00B22AE9">
      <w:pPr>
        <w:pStyle w:val="ListBullet"/>
      </w:pPr>
      <w:r w:rsidRPr="00B22AE9">
        <w:t xml:space="preserve">Assessment processes and techniques must be appropriate to the language, literacy and numeracy requirements of the work </w:t>
      </w:r>
      <w:r w:rsidRPr="00B22AE9">
        <w:t>being performed and the needs of the candidate.</w:t>
      </w:r>
    </w:p>
    <w:p w:rsidR="00000000" w:rsidRPr="00B22AE9" w:rsidP="00B22AE9">
      <w:pPr>
        <w:pStyle w:val="AllowPageBreak"/>
      </w:pPr>
    </w:p>
    <w:p w:rsidR="00000000" w:rsidRPr="00B22AE9" w:rsidP="00B22AE9">
      <w:pPr>
        <w:pStyle w:val="Heading1"/>
      </w:pPr>
      <w:bookmarkStart w:id="14" w:name="O_951155"/>
      <w:bookmarkEnd w:id="14"/>
      <w:r w:rsidRPr="00B22AE9">
        <w:t>Links</w:t>
      </w:r>
    </w:p>
    <w:p w:rsidR="00000000" w:rsidRPr="00B22AE9" w:rsidP="006E57F5">
      <w:pPr>
        <w:pStyle w:val="BodyText"/>
      </w:pPr>
      <w:r w:rsidRPr="00B22AE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B5004">
        <w:rPr>
          <w:rStyle w:val="Hyperlink"/>
        </w:rPr>
        <w:t>https://vetnet.gov.au/Pages/TrainingDocs.aspx?q=b7050d37-5fd0-4740-8f7d-3b7a49c10bb2</w:t>
      </w:r>
      <w:r>
        <w:fldChar w:fldCharType="end"/>
      </w:r>
    </w:p>
    <w:p w:rsidR="00000000" w:rsidRPr="00B22AE9" w:rsidP="00B22AE9"/>
    <w:sectPr w:rsidSect="00B22A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E9" w:rsidRPr="006E57F5" w:rsidP="006E57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F5" w:rsidP="00B22A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E57F5" w:rsidP="00B22A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E57F5" w:rsidP="00B22A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E9" w:rsidP="00B22AE9">
    <w:pPr>
      <w:pStyle w:val="Footer"/>
      <w:framePr w:wrap="around"/>
    </w:pPr>
    <w:r>
      <w:fldChar w:fldCharType="begin"/>
    </w:r>
    <w:r>
      <w:instrText xml:space="preserve"> DOCPROPERTY  Subject  \* MERGEFORMAT </w:instrText>
    </w:r>
    <w:r>
      <w:fldChar w:fldCharType="separate"/>
    </w:r>
    <w:r w:rsidR="006E57F5">
      <w:t>Approved</w:t>
    </w:r>
    <w:r w:rsidR="006E57F5">
      <w:fldChar w:fldCharType="end"/>
    </w:r>
    <w:r>
      <w:tab/>
      <w:t xml:space="preserve">Page </w:t>
    </w:r>
    <w:r>
      <w:fldChar w:fldCharType="begin"/>
    </w:r>
    <w:r>
      <w:instrText xml:space="preserve"> PAGE  \* Arabic  \* MERGEFORMAT </w:instrText>
    </w:r>
    <w:r>
      <w:fldChar w:fldCharType="separate"/>
    </w:r>
    <w:r w:rsidR="006E57F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57F5">
      <w:rPr>
        <w:noProof/>
      </w:rPr>
      <w:t>7</w:t>
    </w:r>
    <w:r>
      <w:rPr>
        <w:noProof/>
      </w:rPr>
      <w:fldChar w:fldCharType="end"/>
    </w:r>
  </w:p>
  <w:p w:rsidR="00B22AE9" w:rsidP="00B22AE9">
    <w:pPr>
      <w:pStyle w:val="Footer"/>
      <w:framePr w:wrap="around"/>
    </w:pPr>
    <w:r>
      <w:t xml:space="preserve">© Commonwealth of Australia, </w:t>
    </w:r>
    <w:r>
      <w:fldChar w:fldCharType="begin"/>
    </w:r>
    <w:r>
      <w:instrText xml:space="preserve"> DATE  \@ "yyyy"  \* MERGEFORMAT </w:instrText>
    </w:r>
    <w:r>
      <w:fldChar w:fldCharType="separate"/>
    </w:r>
    <w:r w:rsidR="006E57F5">
      <w:rPr>
        <w:noProof/>
      </w:rPr>
      <w:t>2025</w:t>
    </w:r>
    <w:r>
      <w:fldChar w:fldCharType="end"/>
    </w:r>
    <w:r>
      <w:tab/>
    </w:r>
    <w:r>
      <w:fldChar w:fldCharType="begin"/>
    </w:r>
    <w:r>
      <w:instrText xml:space="preserve"> DOCPROPERTY  Author  \* MERGEFORMAT </w:instrText>
    </w:r>
    <w:r>
      <w:fldChar w:fldCharType="separate"/>
    </w:r>
    <w:r w:rsidR="006E57F5">
      <w:t>Manufacturing Industry Skills Alliance</w:t>
    </w:r>
    <w:r w:rsidR="006E57F5">
      <w:fldChar w:fldCharType="end"/>
    </w:r>
  </w:p>
  <w:p w:rsidR="00B22AE9" w:rsidP="00B22A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AE9" w:rsidRPr="006E57F5" w:rsidP="006E57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7F5" w:rsidRPr="002D2AF8" w:rsidP="00B22AE9">
    <w:pPr>
      <w:pStyle w:val="Header"/>
      <w:framePr w:wrap="around"/>
    </w:pPr>
    <w:r>
      <w:fldChar w:fldCharType="begin"/>
    </w:r>
    <w:r>
      <w:instrText xml:space="preserve"> TITLE   \* MERGEFORMAT </w:instrText>
    </w:r>
    <w:r>
      <w:fldChar w:fldCharType="separate"/>
    </w:r>
    <w:r>
      <w:t>MEM21003 Perform watch case servicing, repair and refurbishment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57F5" w:rsidP="00B22A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AE9" w:rsidRPr="002D2AF8" w:rsidP="00B22AE9">
    <w:pPr>
      <w:pStyle w:val="Header"/>
      <w:framePr w:wrap="around"/>
    </w:pPr>
    <w:r>
      <w:fldChar w:fldCharType="begin"/>
    </w:r>
    <w:r>
      <w:instrText xml:space="preserve"> TITLE   \* MERGEFORMAT </w:instrText>
    </w:r>
    <w:r>
      <w:fldChar w:fldCharType="separate"/>
    </w:r>
    <w:r w:rsidR="006E57F5">
      <w:t>MEM21003 Perform watch case servicing, repair and refurbishment</w:t>
    </w:r>
    <w:r w:rsidR="006E57F5">
      <w:fldChar w:fldCharType="end"/>
    </w:r>
    <w:r>
      <w:tab/>
      <w:t xml:space="preserve">Date this document was generated: </w:t>
    </w:r>
    <w:r>
      <w:fldChar w:fldCharType="begin"/>
    </w:r>
    <w:r>
      <w:instrText xml:space="preserve"> CREATEDATE  \@ "d MMMM yyyy"  \* MERGEFORMAT </w:instrText>
    </w:r>
    <w:r>
      <w:fldChar w:fldCharType="separate"/>
    </w:r>
    <w:r w:rsidR="006E57F5">
      <w:rPr>
        <w:noProof/>
      </w:rPr>
      <w:t>2 March 2025</w:t>
    </w:r>
    <w:r>
      <w:fldChar w:fldCharType="end"/>
    </w:r>
  </w:p>
  <w:p w:rsidR="00B22AE9" w:rsidP="00B22A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8E9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089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648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A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AE9"/>
    <w:pPr>
      <w:spacing w:before="360" w:after="60"/>
      <w:outlineLvl w:val="0"/>
    </w:pPr>
    <w:rPr>
      <w:sz w:val="32"/>
    </w:rPr>
  </w:style>
  <w:style w:type="paragraph" w:styleId="Heading2">
    <w:name w:val="heading 2"/>
    <w:basedOn w:val="HeadingBase"/>
    <w:next w:val="BodyText"/>
    <w:link w:val="Heading2Char"/>
    <w:qFormat/>
    <w:rsid w:val="00B22AE9"/>
    <w:pPr>
      <w:keepLines/>
      <w:spacing w:before="240" w:after="120"/>
      <w:outlineLvl w:val="1"/>
    </w:pPr>
    <w:rPr>
      <w:sz w:val="28"/>
      <w:szCs w:val="40"/>
    </w:rPr>
  </w:style>
  <w:style w:type="paragraph" w:styleId="Heading3">
    <w:name w:val="heading 3"/>
    <w:basedOn w:val="HeadingBase"/>
    <w:next w:val="BodyText"/>
    <w:link w:val="Heading3Char"/>
    <w:qFormat/>
    <w:rsid w:val="00B22AE9"/>
    <w:pPr>
      <w:spacing w:before="180" w:after="120"/>
      <w:outlineLvl w:val="2"/>
    </w:pPr>
    <w:rPr>
      <w:spacing w:val="-10"/>
      <w:kern w:val="32"/>
    </w:rPr>
  </w:style>
  <w:style w:type="paragraph" w:styleId="Heading4">
    <w:name w:val="heading 4"/>
    <w:basedOn w:val="HeadingBase"/>
    <w:next w:val="BodyText"/>
    <w:link w:val="Heading4Char"/>
    <w:qFormat/>
    <w:rsid w:val="00B22AE9"/>
    <w:pPr>
      <w:spacing w:before="160" w:after="120"/>
      <w:outlineLvl w:val="3"/>
    </w:pPr>
    <w:rPr>
      <w:sz w:val="22"/>
    </w:rPr>
  </w:style>
  <w:style w:type="paragraph" w:styleId="Heading5">
    <w:name w:val="heading 5"/>
    <w:basedOn w:val="HeadingBase"/>
    <w:next w:val="Normal"/>
    <w:link w:val="Heading5Char"/>
    <w:qFormat/>
    <w:rsid w:val="00B22AE9"/>
    <w:pPr>
      <w:spacing w:before="80"/>
      <w:outlineLvl w:val="4"/>
    </w:pPr>
    <w:rPr>
      <w:color w:val="918585"/>
      <w:sz w:val="20"/>
    </w:rPr>
  </w:style>
  <w:style w:type="paragraph" w:styleId="Heading6">
    <w:name w:val="heading 6"/>
    <w:basedOn w:val="HeadingBase"/>
    <w:next w:val="Normal"/>
    <w:link w:val="Heading6Char"/>
    <w:qFormat/>
    <w:rsid w:val="00B22AE9"/>
    <w:pPr>
      <w:spacing w:before="60"/>
      <w:outlineLvl w:val="5"/>
    </w:pPr>
    <w:rPr>
      <w:color w:val="918585"/>
      <w:sz w:val="20"/>
    </w:rPr>
  </w:style>
  <w:style w:type="paragraph" w:styleId="Heading7">
    <w:name w:val="heading 7"/>
    <w:basedOn w:val="Normal"/>
    <w:next w:val="Normal"/>
    <w:link w:val="Heading7Char"/>
    <w:qFormat/>
    <w:rsid w:val="00B22AE9"/>
    <w:pPr>
      <w:ind w:left="720"/>
      <w:outlineLvl w:val="6"/>
    </w:pPr>
    <w:rPr>
      <w:i/>
    </w:rPr>
  </w:style>
  <w:style w:type="paragraph" w:styleId="Heading8">
    <w:name w:val="heading 8"/>
    <w:basedOn w:val="Normal"/>
    <w:next w:val="Normal"/>
    <w:link w:val="Heading8Char"/>
    <w:qFormat/>
    <w:rsid w:val="00B22AE9"/>
    <w:pPr>
      <w:ind w:left="720"/>
      <w:outlineLvl w:val="7"/>
    </w:pPr>
    <w:rPr>
      <w:i/>
    </w:rPr>
  </w:style>
  <w:style w:type="paragraph" w:styleId="Heading9">
    <w:name w:val="heading 9"/>
    <w:basedOn w:val="Normal"/>
    <w:next w:val="Normal"/>
    <w:link w:val="Heading9Char"/>
    <w:qFormat/>
    <w:rsid w:val="00B22AE9"/>
    <w:pPr>
      <w:ind w:left="720"/>
      <w:outlineLvl w:val="8"/>
    </w:pPr>
    <w:rPr>
      <w:i/>
    </w:rPr>
  </w:style>
  <w:style w:type="character" w:default="1" w:styleId="DefaultParagraphFont">
    <w:name w:val="Default Paragraph Font"/>
    <w:uiPriority w:val="1"/>
    <w:unhideWhenUsed/>
    <w:rsid w:val="00B22A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AE9"/>
  </w:style>
  <w:style w:type="character" w:customStyle="1" w:styleId="Heading1Char">
    <w:name w:val="Heading 1 Char"/>
    <w:basedOn w:val="DefaultParagraphFont"/>
    <w:link w:val="Heading1"/>
    <w:rsid w:val="00B22AE9"/>
    <w:rPr>
      <w:rFonts w:ascii="Times New Roman" w:eastAsia="Times New Roman" w:hAnsi="Times New Roman" w:cs="Times New Roman"/>
      <w:b/>
      <w:sz w:val="32"/>
      <w:szCs w:val="20"/>
      <w:lang w:eastAsia="en-US"/>
    </w:rPr>
  </w:style>
  <w:style w:type="paragraph" w:styleId="BodyText">
    <w:name w:val="Body Text"/>
    <w:basedOn w:val="Normal"/>
    <w:link w:val="BodyTextChar"/>
    <w:rsid w:val="00B22A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AE9"/>
    <w:rPr>
      <w:rFonts w:ascii="Times New Roman" w:eastAsia="Times New Roman" w:hAnsi="Times New Roman" w:cs="Times New Roman"/>
      <w:sz w:val="24"/>
      <w:lang w:eastAsia="en-US"/>
    </w:rPr>
  </w:style>
  <w:style w:type="paragraph" w:styleId="ListBullet">
    <w:name w:val="List Bullet"/>
    <w:basedOn w:val="List"/>
    <w:rsid w:val="00B22AE9"/>
    <w:pPr>
      <w:numPr>
        <w:numId w:val="12"/>
      </w:numPr>
      <w:tabs>
        <w:tab w:val="clear" w:pos="340"/>
      </w:tabs>
      <w:spacing w:before="40" w:after="40"/>
    </w:pPr>
  </w:style>
  <w:style w:type="character" w:customStyle="1" w:styleId="SpecialBold">
    <w:name w:val="Special Bold"/>
    <w:basedOn w:val="DefaultParagraphFont"/>
    <w:rsid w:val="00B22AE9"/>
    <w:rPr>
      <w:b/>
      <w:spacing w:val="0"/>
    </w:rPr>
  </w:style>
  <w:style w:type="paragraph" w:styleId="ListBullet2">
    <w:name w:val="List Bullet 2"/>
    <w:basedOn w:val="List2"/>
    <w:rsid w:val="00B22AE9"/>
    <w:pPr>
      <w:numPr>
        <w:numId w:val="13"/>
      </w:numPr>
      <w:tabs>
        <w:tab w:val="clear" w:pos="680"/>
      </w:tabs>
    </w:pPr>
  </w:style>
  <w:style w:type="character" w:styleId="Emphasis">
    <w:name w:val="Emphasis"/>
    <w:basedOn w:val="DefaultParagraphFont"/>
    <w:qFormat/>
    <w:rsid w:val="00B22AE9"/>
    <w:rPr>
      <w:i/>
    </w:rPr>
  </w:style>
  <w:style w:type="paragraph" w:customStyle="1" w:styleId="SuperHeading">
    <w:name w:val="SuperHeading"/>
    <w:basedOn w:val="Normal"/>
    <w:rsid w:val="00B22AE9"/>
    <w:pPr>
      <w:spacing w:before="240" w:after="120"/>
      <w:outlineLvl w:val="0"/>
    </w:pPr>
    <w:rPr>
      <w:rFonts w:ascii="Times New Roman" w:hAnsi="Times New Roman"/>
      <w:b/>
      <w:sz w:val="32"/>
    </w:rPr>
  </w:style>
  <w:style w:type="paragraph" w:customStyle="1" w:styleId="AllowPageBreak">
    <w:name w:val="AllowPageBreak"/>
    <w:rsid w:val="00B22A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A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A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A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A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A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A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A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AE9"/>
    <w:rPr>
      <w:rFonts w:ascii="Courier New" w:eastAsia="Times New Roman" w:hAnsi="Courier New" w:cs="Times New Roman"/>
      <w:i/>
      <w:szCs w:val="20"/>
      <w:lang w:eastAsia="en-US"/>
    </w:rPr>
  </w:style>
  <w:style w:type="paragraph" w:customStyle="1" w:styleId="HeadingBase">
    <w:name w:val="Heading Base"/>
    <w:rsid w:val="00B22A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AE9"/>
    <w:pPr>
      <w:tabs>
        <w:tab w:val="right" w:leader="dot" w:pos="9072"/>
      </w:tabs>
      <w:ind w:left="567"/>
    </w:pPr>
    <w:rPr>
      <w:szCs w:val="22"/>
    </w:rPr>
  </w:style>
  <w:style w:type="paragraph" w:customStyle="1" w:styleId="TOCBase">
    <w:name w:val="TOC Base"/>
    <w:rsid w:val="00B22A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AE9"/>
    <w:pPr>
      <w:tabs>
        <w:tab w:val="right" w:leader="dot" w:pos="9072"/>
      </w:tabs>
      <w:spacing w:before="40" w:after="40"/>
      <w:ind w:left="284"/>
    </w:pPr>
    <w:rPr>
      <w:rFonts w:ascii="Times New Roman" w:hAnsi="Times New Roman"/>
    </w:rPr>
  </w:style>
  <w:style w:type="paragraph" w:styleId="TOC1">
    <w:name w:val="toc 1"/>
    <w:basedOn w:val="TOCBase"/>
    <w:next w:val="Normal"/>
    <w:rsid w:val="00B22A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A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AE9"/>
    <w:rPr>
      <w:rFonts w:ascii="Times New Roman" w:eastAsia="Times New Roman" w:hAnsi="Times New Roman" w:cs="Times New Roman"/>
      <w:sz w:val="16"/>
      <w:lang w:eastAsia="en-US"/>
    </w:rPr>
  </w:style>
  <w:style w:type="paragraph" w:styleId="Title">
    <w:name w:val="Title"/>
    <w:basedOn w:val="HeadingBase"/>
    <w:link w:val="TitleChar"/>
    <w:qFormat/>
    <w:rsid w:val="00B22AE9"/>
    <w:pPr>
      <w:spacing w:before="5040"/>
      <w:jc w:val="center"/>
    </w:pPr>
    <w:rPr>
      <w:sz w:val="48"/>
      <w:szCs w:val="72"/>
      <w:lang w:val="en-US"/>
    </w:rPr>
  </w:style>
  <w:style w:type="character" w:customStyle="1" w:styleId="TitleChar">
    <w:name w:val="Title Char"/>
    <w:basedOn w:val="DefaultParagraphFont"/>
    <w:link w:val="Title"/>
    <w:rsid w:val="00B22A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AE9"/>
    <w:pPr>
      <w:tabs>
        <w:tab w:val="left" w:pos="3600"/>
        <w:tab w:val="left" w:pos="3958"/>
      </w:tabs>
    </w:pPr>
  </w:style>
  <w:style w:type="paragraph" w:styleId="List">
    <w:name w:val="List"/>
    <w:basedOn w:val="BodyText"/>
    <w:next w:val="BodyText"/>
    <w:rsid w:val="00B22AE9"/>
    <w:pPr>
      <w:tabs>
        <w:tab w:val="left" w:pos="340"/>
      </w:tabs>
      <w:spacing w:before="60" w:after="60"/>
      <w:ind w:left="340" w:hanging="340"/>
    </w:pPr>
  </w:style>
  <w:style w:type="paragraph" w:customStyle="1" w:styleId="Note">
    <w:name w:val="Note"/>
    <w:basedOn w:val="BodyText"/>
    <w:rsid w:val="00B22A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AE9"/>
    <w:pPr>
      <w:framePr w:wrap="auto" w:hAnchor="text" w:y="6049"/>
    </w:pPr>
    <w:rPr>
      <w:color w:val="000000"/>
      <w:sz w:val="40"/>
    </w:rPr>
  </w:style>
  <w:style w:type="paragraph" w:customStyle="1" w:styleId="TOCTitle">
    <w:name w:val="TOCTitle"/>
    <w:basedOn w:val="Heading1"/>
    <w:rsid w:val="00B22AE9"/>
    <w:pPr>
      <w:spacing w:after="240"/>
      <w:jc w:val="center"/>
      <w:outlineLvl w:val="9"/>
    </w:pPr>
    <w:rPr>
      <w:caps/>
    </w:rPr>
  </w:style>
  <w:style w:type="paragraph" w:customStyle="1" w:styleId="Version">
    <w:name w:val="Version"/>
    <w:rsid w:val="00B22A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AE9"/>
    <w:pPr>
      <w:keepNext w:val="0"/>
      <w:tabs>
        <w:tab w:val="right" w:pos="4176"/>
      </w:tabs>
      <w:ind w:left="198" w:hanging="198"/>
    </w:pPr>
    <w:rPr>
      <w:rFonts w:ascii="Garamond" w:hAnsi="Garamond"/>
    </w:rPr>
  </w:style>
  <w:style w:type="paragraph" w:styleId="IndexHeading">
    <w:name w:val="index heading"/>
    <w:basedOn w:val="Normal"/>
    <w:next w:val="Index1"/>
    <w:semiHidden/>
    <w:rsid w:val="00B22AE9"/>
    <w:pPr>
      <w:spacing w:before="120" w:after="120"/>
    </w:pPr>
    <w:rPr>
      <w:rFonts w:ascii="Arial" w:hAnsi="Arial"/>
      <w:b/>
      <w:color w:val="918585"/>
      <w:sz w:val="24"/>
    </w:rPr>
  </w:style>
  <w:style w:type="paragraph" w:styleId="Header">
    <w:name w:val="header"/>
    <w:basedOn w:val="Normal"/>
    <w:link w:val="HeaderChar"/>
    <w:rsid w:val="00B22A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AE9"/>
    <w:rPr>
      <w:rFonts w:ascii="Times New Roman" w:eastAsia="Times New Roman" w:hAnsi="Times New Roman" w:cs="Times New Roman"/>
      <w:sz w:val="16"/>
      <w:szCs w:val="20"/>
      <w:lang w:val="en-GB" w:eastAsia="en-US"/>
    </w:rPr>
  </w:style>
  <w:style w:type="paragraph" w:customStyle="1" w:styleId="Chapter">
    <w:name w:val="Chapter"/>
    <w:basedOn w:val="Normal"/>
    <w:rsid w:val="00B22AE9"/>
    <w:pPr>
      <w:spacing w:before="240"/>
    </w:pPr>
    <w:rPr>
      <w:rFonts w:ascii="Times New Roman" w:hAnsi="Times New Roman"/>
      <w:smallCaps/>
      <w:spacing w:val="80"/>
      <w:sz w:val="28"/>
    </w:rPr>
  </w:style>
  <w:style w:type="paragraph" w:customStyle="1" w:styleId="InChapter">
    <w:name w:val="InChapter"/>
    <w:basedOn w:val="Heading3"/>
    <w:rsid w:val="00B22AE9"/>
    <w:pPr>
      <w:spacing w:after="240"/>
      <w:outlineLvl w:val="9"/>
    </w:pPr>
    <w:rPr>
      <w:noProof/>
    </w:rPr>
  </w:style>
  <w:style w:type="paragraph" w:styleId="Index2">
    <w:name w:val="index 2"/>
    <w:basedOn w:val="Normal"/>
    <w:next w:val="Normal"/>
    <w:semiHidden/>
    <w:rsid w:val="00B22AE9"/>
    <w:pPr>
      <w:tabs>
        <w:tab w:val="right" w:pos="4176"/>
      </w:tabs>
      <w:ind w:left="568" w:hanging="284"/>
    </w:pPr>
    <w:rPr>
      <w:rFonts w:ascii="Garamond" w:hAnsi="Garamond"/>
    </w:rPr>
  </w:style>
  <w:style w:type="paragraph" w:customStyle="1" w:styleId="Byline">
    <w:name w:val="Byline"/>
    <w:rsid w:val="00B22A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AE9"/>
    <w:pPr>
      <w:tabs>
        <w:tab w:val="clear" w:pos="3600"/>
        <w:tab w:val="clear" w:pos="3958"/>
      </w:tabs>
      <w:jc w:val="right"/>
    </w:pPr>
  </w:style>
  <w:style w:type="paragraph" w:styleId="Caption">
    <w:name w:val="caption"/>
    <w:basedOn w:val="BodyText"/>
    <w:next w:val="Normal"/>
    <w:qFormat/>
    <w:rsid w:val="00B22AE9"/>
    <w:pPr>
      <w:framePr w:w="2268" w:hSpace="181" w:vSpace="181" w:wrap="around" w:vAnchor="text" w:hAnchor="page" w:x="1135" w:y="285" w:anchorLock="1"/>
    </w:pPr>
    <w:rPr>
      <w:i/>
    </w:rPr>
  </w:style>
  <w:style w:type="paragraph" w:customStyle="1" w:styleId="MiniTOCTitle">
    <w:name w:val="MiniTOCTitle"/>
    <w:basedOn w:val="Heading4"/>
    <w:rsid w:val="00B22AE9"/>
    <w:pPr>
      <w:spacing w:before="240"/>
      <w:outlineLvl w:val="9"/>
    </w:pPr>
    <w:rPr>
      <w:noProof/>
      <w:sz w:val="24"/>
    </w:rPr>
  </w:style>
  <w:style w:type="paragraph" w:customStyle="1" w:styleId="MiniTOCItem">
    <w:name w:val="MiniTOCItem"/>
    <w:basedOn w:val="ListBullet"/>
    <w:rsid w:val="00B22AE9"/>
    <w:pPr>
      <w:numPr>
        <w:numId w:val="0"/>
      </w:numPr>
      <w:tabs>
        <w:tab w:val="right" w:leader="dot" w:pos="6521"/>
      </w:tabs>
      <w:spacing w:before="0" w:after="0"/>
    </w:pPr>
  </w:style>
  <w:style w:type="paragraph" w:customStyle="1" w:styleId="TOFTitle">
    <w:name w:val="TOFTitle"/>
    <w:basedOn w:val="TOCTitle"/>
    <w:rsid w:val="00B22AE9"/>
  </w:style>
  <w:style w:type="paragraph" w:styleId="TableofFigures">
    <w:name w:val="table of figures"/>
    <w:basedOn w:val="Normal"/>
    <w:next w:val="Normal"/>
    <w:semiHidden/>
    <w:rsid w:val="00B22AE9"/>
    <w:pPr>
      <w:tabs>
        <w:tab w:val="right" w:leader="dot" w:pos="9072"/>
      </w:tabs>
      <w:ind w:left="970" w:hanging="403"/>
    </w:pPr>
    <w:rPr>
      <w:rFonts w:ascii="Times New Roman" w:hAnsi="Times New Roman"/>
      <w:b/>
    </w:rPr>
  </w:style>
  <w:style w:type="paragraph" w:styleId="ListNumber">
    <w:name w:val="List Number"/>
    <w:basedOn w:val="List"/>
    <w:rsid w:val="00B22AE9"/>
    <w:pPr>
      <w:numPr>
        <w:numId w:val="15"/>
      </w:numPr>
      <w:tabs>
        <w:tab w:val="clear" w:pos="340"/>
      </w:tabs>
    </w:pPr>
  </w:style>
  <w:style w:type="character" w:customStyle="1" w:styleId="WingdingSymbols">
    <w:name w:val="Wingding Symbols"/>
    <w:rsid w:val="00B22AE9"/>
    <w:rPr>
      <w:rFonts w:ascii="Wingdings" w:hAnsi="Wingdings"/>
    </w:rPr>
  </w:style>
  <w:style w:type="paragraph" w:customStyle="1" w:styleId="TableHeading">
    <w:name w:val="Table Heading"/>
    <w:basedOn w:val="HeadingBase"/>
    <w:rsid w:val="00B22AE9"/>
    <w:pPr>
      <w:keepLines/>
      <w:pBdr>
        <w:bottom w:val="single" w:sz="6" w:space="1" w:color="918585"/>
      </w:pBdr>
      <w:spacing w:before="240"/>
    </w:pPr>
  </w:style>
  <w:style w:type="character" w:customStyle="1" w:styleId="HotSpot">
    <w:name w:val="HotSpot"/>
    <w:rsid w:val="00B22AE9"/>
    <w:rPr>
      <w:color w:val="0033CC"/>
      <w:u w:val="none"/>
    </w:rPr>
  </w:style>
  <w:style w:type="paragraph" w:customStyle="1" w:styleId="BodyTextRight">
    <w:name w:val="Body Text Right"/>
    <w:basedOn w:val="BodyText"/>
    <w:rsid w:val="00B22AE9"/>
    <w:pPr>
      <w:spacing w:before="0" w:after="0"/>
      <w:jc w:val="right"/>
    </w:pPr>
  </w:style>
  <w:style w:type="paragraph" w:styleId="Index3">
    <w:name w:val="index 3"/>
    <w:basedOn w:val="ListNumber2"/>
    <w:next w:val="Normal"/>
    <w:semiHidden/>
    <w:rsid w:val="00B22AE9"/>
    <w:pPr>
      <w:numPr>
        <w:numId w:val="0"/>
      </w:numPr>
      <w:tabs>
        <w:tab w:val="right" w:leader="dot" w:pos="4176"/>
      </w:tabs>
    </w:pPr>
  </w:style>
  <w:style w:type="paragraph" w:styleId="ListNumber2">
    <w:name w:val="List Number 2"/>
    <w:basedOn w:val="List2"/>
    <w:rsid w:val="00B22AE9"/>
    <w:pPr>
      <w:numPr>
        <w:numId w:val="10"/>
      </w:numPr>
      <w:tabs>
        <w:tab w:val="clear" w:pos="1060"/>
      </w:tabs>
    </w:pPr>
  </w:style>
  <w:style w:type="paragraph" w:customStyle="1" w:styleId="MarginNote">
    <w:name w:val="Margin Note"/>
    <w:basedOn w:val="BodyText"/>
    <w:rsid w:val="00B22A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A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A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AE9"/>
    <w:rPr>
      <w:sz w:val="32"/>
    </w:rPr>
  </w:style>
  <w:style w:type="paragraph" w:customStyle="1" w:styleId="HeadingProcedure">
    <w:name w:val="Heading Procedure"/>
    <w:basedOn w:val="HeadingBase"/>
    <w:next w:val="Normal"/>
    <w:rsid w:val="00B22AE9"/>
    <w:pPr>
      <w:tabs>
        <w:tab w:val="left" w:pos="0"/>
      </w:tabs>
      <w:spacing w:before="120" w:after="60"/>
    </w:pPr>
    <w:rPr>
      <w:i/>
      <w:color w:val="918585"/>
      <w:sz w:val="22"/>
    </w:rPr>
  </w:style>
  <w:style w:type="paragraph" w:customStyle="1" w:styleId="TableBodyText">
    <w:name w:val="Table Body Text"/>
    <w:basedOn w:val="BodyText"/>
    <w:rsid w:val="00B22AE9"/>
    <w:pPr>
      <w:spacing w:before="60" w:after="60"/>
    </w:pPr>
  </w:style>
  <w:style w:type="paragraph" w:styleId="ListContinue">
    <w:name w:val="List Continue"/>
    <w:basedOn w:val="List"/>
    <w:rsid w:val="00B22AE9"/>
    <w:pPr>
      <w:ind w:firstLine="0"/>
    </w:pPr>
  </w:style>
  <w:style w:type="paragraph" w:customStyle="1" w:styleId="ListNote">
    <w:name w:val="List Note"/>
    <w:basedOn w:val="List"/>
    <w:rsid w:val="00B22AE9"/>
    <w:pPr>
      <w:pBdr>
        <w:top w:val="single" w:sz="6" w:space="2" w:color="918585"/>
        <w:bottom w:val="single" w:sz="6" w:space="2" w:color="918585"/>
      </w:pBdr>
      <w:tabs>
        <w:tab w:val="left" w:pos="1021"/>
      </w:tabs>
      <w:ind w:firstLine="0"/>
    </w:pPr>
  </w:style>
  <w:style w:type="paragraph" w:customStyle="1" w:styleId="Warning">
    <w:name w:val="Warning"/>
    <w:basedOn w:val="BodyText"/>
    <w:rsid w:val="00B22AE9"/>
    <w:pPr>
      <w:shd w:val="clear" w:color="auto" w:fill="D9D9D9"/>
      <w:tabs>
        <w:tab w:val="left" w:pos="992"/>
      </w:tabs>
      <w:ind w:left="119" w:right="119"/>
    </w:pPr>
    <w:rPr>
      <w:sz w:val="20"/>
    </w:rPr>
  </w:style>
  <w:style w:type="paragraph" w:customStyle="1" w:styleId="MarginIcons">
    <w:name w:val="Margin Icons"/>
    <w:basedOn w:val="BodyText"/>
    <w:rsid w:val="00B22A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AE9"/>
    <w:rPr>
      <w:rFonts w:ascii="Courier New" w:hAnsi="Courier New"/>
    </w:rPr>
  </w:style>
  <w:style w:type="paragraph" w:customStyle="1" w:styleId="NoteBullet">
    <w:name w:val="Note Bullet"/>
    <w:basedOn w:val="Note"/>
    <w:rsid w:val="00B22AE9"/>
    <w:pPr>
      <w:tabs>
        <w:tab w:val="clear" w:pos="680"/>
      </w:tabs>
      <w:spacing w:before="60" w:after="60"/>
    </w:pPr>
  </w:style>
  <w:style w:type="paragraph" w:customStyle="1" w:styleId="SubHeading2">
    <w:name w:val="SubHeading2"/>
    <w:basedOn w:val="HeadingBase"/>
    <w:rsid w:val="00B22AE9"/>
    <w:pPr>
      <w:spacing w:before="240" w:after="60"/>
    </w:pPr>
    <w:rPr>
      <w:sz w:val="20"/>
    </w:rPr>
  </w:style>
  <w:style w:type="paragraph" w:customStyle="1" w:styleId="SubHeading1">
    <w:name w:val="SubHeading1"/>
    <w:basedOn w:val="HeadingBase"/>
    <w:rsid w:val="00B22AE9"/>
    <w:pPr>
      <w:spacing w:before="240" w:after="60"/>
    </w:pPr>
    <w:rPr>
      <w:color w:val="918585"/>
      <w:sz w:val="22"/>
    </w:rPr>
  </w:style>
  <w:style w:type="paragraph" w:customStyle="1" w:styleId="SideHeading">
    <w:name w:val="Side Heading"/>
    <w:basedOn w:val="HeadingBase"/>
    <w:rsid w:val="00B22A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AE9"/>
    <w:pPr>
      <w:tabs>
        <w:tab w:val="num" w:pos="360"/>
      </w:tabs>
    </w:pPr>
  </w:style>
  <w:style w:type="paragraph" w:styleId="PlainText">
    <w:name w:val="Plain Text"/>
    <w:basedOn w:val="Normal"/>
    <w:link w:val="PlainTextChar"/>
    <w:rsid w:val="00B22AE9"/>
    <w:rPr>
      <w:sz w:val="20"/>
    </w:rPr>
  </w:style>
  <w:style w:type="character" w:customStyle="1" w:styleId="PlainTextChar">
    <w:name w:val="Plain Text Char"/>
    <w:basedOn w:val="DefaultParagraphFont"/>
    <w:link w:val="PlainText"/>
    <w:rsid w:val="00B22AE9"/>
    <w:rPr>
      <w:rFonts w:ascii="Courier New" w:eastAsia="Times New Roman" w:hAnsi="Courier New" w:cs="Times New Roman"/>
      <w:sz w:val="20"/>
      <w:szCs w:val="20"/>
      <w:lang w:eastAsia="en-US"/>
    </w:rPr>
  </w:style>
  <w:style w:type="character" w:customStyle="1" w:styleId="MenuOption">
    <w:name w:val="Menu Option"/>
    <w:basedOn w:val="DefaultParagraphFont"/>
    <w:rsid w:val="00B22AE9"/>
    <w:rPr>
      <w:b/>
      <w:smallCaps/>
    </w:rPr>
  </w:style>
  <w:style w:type="paragraph" w:customStyle="1" w:styleId="TableListNumber">
    <w:name w:val="Table List Number"/>
    <w:basedOn w:val="ListNumber"/>
    <w:rsid w:val="00B22AE9"/>
    <w:pPr>
      <w:numPr>
        <w:numId w:val="0"/>
      </w:numPr>
    </w:pPr>
  </w:style>
  <w:style w:type="paragraph" w:styleId="TOC4">
    <w:name w:val="toc 4"/>
    <w:basedOn w:val="TOCBase"/>
    <w:next w:val="Normal"/>
    <w:semiHidden/>
    <w:rsid w:val="00B22AE9"/>
    <w:pPr>
      <w:tabs>
        <w:tab w:val="right" w:leader="dot" w:pos="9071"/>
      </w:tabs>
      <w:ind w:left="1701"/>
    </w:pPr>
  </w:style>
  <w:style w:type="paragraph" w:customStyle="1" w:styleId="ListAlpha">
    <w:name w:val="List Alpha"/>
    <w:basedOn w:val="List"/>
    <w:rsid w:val="00B22AE9"/>
    <w:pPr>
      <w:numPr>
        <w:numId w:val="9"/>
      </w:numPr>
    </w:pPr>
  </w:style>
  <w:style w:type="paragraph" w:customStyle="1" w:styleId="ListAlpha2">
    <w:name w:val="List Alpha 2"/>
    <w:basedOn w:val="List2"/>
    <w:rsid w:val="00B22AE9"/>
    <w:pPr>
      <w:numPr>
        <w:numId w:val="8"/>
      </w:numPr>
    </w:pPr>
  </w:style>
  <w:style w:type="paragraph" w:styleId="List2">
    <w:name w:val="List 2"/>
    <w:basedOn w:val="BodyText"/>
    <w:rsid w:val="00B22AE9"/>
    <w:pPr>
      <w:tabs>
        <w:tab w:val="left" w:pos="680"/>
      </w:tabs>
      <w:spacing w:before="60" w:after="60"/>
      <w:ind w:left="680" w:hanging="340"/>
    </w:pPr>
  </w:style>
  <w:style w:type="paragraph" w:styleId="List3">
    <w:name w:val="List 3"/>
    <w:basedOn w:val="BodyText"/>
    <w:rsid w:val="00B22AE9"/>
    <w:pPr>
      <w:tabs>
        <w:tab w:val="left" w:pos="1021"/>
      </w:tabs>
      <w:spacing w:before="60" w:after="60"/>
      <w:ind w:left="1020" w:hanging="340"/>
    </w:pPr>
  </w:style>
  <w:style w:type="paragraph" w:styleId="List4">
    <w:name w:val="List 4"/>
    <w:basedOn w:val="BodyText"/>
    <w:rsid w:val="00B22AE9"/>
    <w:pPr>
      <w:tabs>
        <w:tab w:val="left" w:pos="1361"/>
      </w:tabs>
      <w:spacing w:before="60" w:after="60"/>
      <w:ind w:left="1361" w:hanging="340"/>
    </w:pPr>
  </w:style>
  <w:style w:type="paragraph" w:styleId="List5">
    <w:name w:val="List 5"/>
    <w:basedOn w:val="BodyText"/>
    <w:rsid w:val="00B22AE9"/>
    <w:pPr>
      <w:tabs>
        <w:tab w:val="left" w:pos="1701"/>
      </w:tabs>
      <w:spacing w:before="60" w:after="60"/>
      <w:ind w:left="1701" w:hanging="340"/>
    </w:pPr>
  </w:style>
  <w:style w:type="paragraph" w:styleId="ListBullet3">
    <w:name w:val="List Bullet 3"/>
    <w:basedOn w:val="List3"/>
    <w:rsid w:val="00B22AE9"/>
    <w:pPr>
      <w:numPr>
        <w:numId w:val="14"/>
      </w:numPr>
      <w:tabs>
        <w:tab w:val="clear" w:pos="1021"/>
      </w:tabs>
      <w:ind w:left="1037" w:hanging="357"/>
    </w:pPr>
  </w:style>
  <w:style w:type="paragraph" w:styleId="ListBullet4">
    <w:name w:val="List Bullet 4"/>
    <w:basedOn w:val="List4"/>
    <w:rsid w:val="00B22AE9"/>
    <w:pPr>
      <w:numPr>
        <w:numId w:val="3"/>
      </w:numPr>
      <w:tabs>
        <w:tab w:val="clear" w:pos="1361"/>
      </w:tabs>
    </w:pPr>
  </w:style>
  <w:style w:type="paragraph" w:styleId="ListBullet5">
    <w:name w:val="List Bullet 5"/>
    <w:basedOn w:val="List5"/>
    <w:rsid w:val="00B22AE9"/>
    <w:pPr>
      <w:numPr>
        <w:numId w:val="4"/>
      </w:numPr>
    </w:pPr>
  </w:style>
  <w:style w:type="paragraph" w:styleId="ListContinue2">
    <w:name w:val="List Continue 2"/>
    <w:basedOn w:val="List2"/>
    <w:rsid w:val="00B22AE9"/>
    <w:pPr>
      <w:ind w:firstLine="0"/>
    </w:pPr>
  </w:style>
  <w:style w:type="paragraph" w:styleId="ListContinue3">
    <w:name w:val="List Continue 3"/>
    <w:basedOn w:val="List3"/>
    <w:rsid w:val="00B22AE9"/>
    <w:pPr>
      <w:ind w:left="1021" w:firstLine="0"/>
    </w:pPr>
  </w:style>
  <w:style w:type="paragraph" w:styleId="ListContinue4">
    <w:name w:val="List Continue 4"/>
    <w:basedOn w:val="List4"/>
    <w:rsid w:val="00B22AE9"/>
    <w:pPr>
      <w:ind w:firstLine="0"/>
    </w:pPr>
  </w:style>
  <w:style w:type="paragraph" w:styleId="ListContinue5">
    <w:name w:val="List Continue 5"/>
    <w:basedOn w:val="List5"/>
    <w:rsid w:val="00B22AE9"/>
    <w:pPr>
      <w:ind w:firstLine="0"/>
    </w:pPr>
  </w:style>
  <w:style w:type="paragraph" w:styleId="ListNumber3">
    <w:name w:val="List Number 3"/>
    <w:basedOn w:val="List3"/>
    <w:rsid w:val="00B22AE9"/>
    <w:pPr>
      <w:numPr>
        <w:numId w:val="5"/>
      </w:numPr>
    </w:pPr>
  </w:style>
  <w:style w:type="paragraph" w:styleId="ListNumber4">
    <w:name w:val="List Number 4"/>
    <w:basedOn w:val="List4"/>
    <w:rsid w:val="00B22AE9"/>
    <w:pPr>
      <w:numPr>
        <w:numId w:val="6"/>
      </w:numPr>
    </w:pPr>
  </w:style>
  <w:style w:type="paragraph" w:styleId="ListNumber5">
    <w:name w:val="List Number 5"/>
    <w:basedOn w:val="List5"/>
    <w:rsid w:val="00B22AE9"/>
    <w:pPr>
      <w:numPr>
        <w:numId w:val="7"/>
      </w:numPr>
    </w:pPr>
  </w:style>
  <w:style w:type="paragraph" w:styleId="BlockText">
    <w:name w:val="Block Text"/>
    <w:basedOn w:val="Normal"/>
    <w:rsid w:val="00B22AE9"/>
    <w:pPr>
      <w:spacing w:after="120"/>
      <w:ind w:left="1440" w:right="1440"/>
    </w:pPr>
  </w:style>
  <w:style w:type="character" w:customStyle="1" w:styleId="Subscript">
    <w:name w:val="Subscript"/>
    <w:basedOn w:val="DefaultParagraphFont"/>
    <w:rsid w:val="00B22AE9"/>
    <w:rPr>
      <w:sz w:val="16"/>
      <w:vertAlign w:val="subscript"/>
    </w:rPr>
  </w:style>
  <w:style w:type="character" w:customStyle="1" w:styleId="Superscript">
    <w:name w:val="Superscript"/>
    <w:basedOn w:val="DefaultParagraphFont"/>
    <w:rsid w:val="00B22AE9"/>
    <w:rPr>
      <w:sz w:val="16"/>
      <w:vertAlign w:val="superscript"/>
    </w:rPr>
  </w:style>
  <w:style w:type="character" w:customStyle="1" w:styleId="Symbols">
    <w:name w:val="Symbols"/>
    <w:basedOn w:val="DefaultParagraphFont"/>
    <w:rsid w:val="00B22AE9"/>
    <w:rPr>
      <w:rFonts w:ascii="Symbol" w:hAnsi="Symbol"/>
    </w:rPr>
  </w:style>
  <w:style w:type="character" w:customStyle="1" w:styleId="MenuOptions">
    <w:name w:val="Menu Options"/>
    <w:basedOn w:val="DefaultParagraphFont"/>
    <w:rsid w:val="00B22AE9"/>
    <w:rPr>
      <w:rFonts w:ascii="Arial Narrow" w:hAnsi="Arial Narrow"/>
      <w:smallCaps/>
    </w:rPr>
  </w:style>
  <w:style w:type="character" w:customStyle="1" w:styleId="Buttons">
    <w:name w:val="Buttons"/>
    <w:basedOn w:val="DefaultParagraphFont"/>
    <w:rsid w:val="00B22AE9"/>
    <w:rPr>
      <w:b/>
    </w:rPr>
  </w:style>
  <w:style w:type="character" w:customStyle="1" w:styleId="Underlined">
    <w:name w:val="Underlined"/>
    <w:basedOn w:val="DefaultParagraphFont"/>
    <w:rsid w:val="00B22AE9"/>
    <w:rPr>
      <w:u w:val="single"/>
    </w:rPr>
  </w:style>
  <w:style w:type="paragraph" w:customStyle="1" w:styleId="TableBodyTextRight">
    <w:name w:val="Table Body Text Right"/>
    <w:basedOn w:val="TableBodyText"/>
    <w:rsid w:val="00B22AE9"/>
    <w:pPr>
      <w:widowControl w:val="0"/>
      <w:autoSpaceDE w:val="0"/>
      <w:autoSpaceDN w:val="0"/>
      <w:adjustRightInd w:val="0"/>
      <w:jc w:val="right"/>
    </w:pPr>
    <w:rPr>
      <w:rFonts w:cs="Arial"/>
      <w:szCs w:val="18"/>
    </w:rPr>
  </w:style>
  <w:style w:type="paragraph" w:customStyle="1" w:styleId="CopyrightText">
    <w:name w:val="Copyright Text"/>
    <w:basedOn w:val="BodyText"/>
    <w:rsid w:val="00B22AE9"/>
    <w:rPr>
      <w:sz w:val="18"/>
    </w:rPr>
  </w:style>
  <w:style w:type="paragraph" w:customStyle="1" w:styleId="BodySmallRight">
    <w:name w:val="Body Small Right"/>
    <w:basedOn w:val="BodyTextRight"/>
    <w:rsid w:val="00B22AE9"/>
    <w:rPr>
      <w:sz w:val="18"/>
      <w:szCs w:val="18"/>
    </w:rPr>
  </w:style>
  <w:style w:type="paragraph" w:customStyle="1" w:styleId="MarginEdition">
    <w:name w:val="Margin Edition"/>
    <w:basedOn w:val="MarginNote"/>
    <w:rsid w:val="00B22AE9"/>
    <w:pPr>
      <w:spacing w:before="0" w:after="0"/>
    </w:pPr>
    <w:rPr>
      <w:rFonts w:ascii="Times New Roman" w:hAnsi="Times New Roman"/>
      <w:color w:val="999999"/>
    </w:rPr>
  </w:style>
  <w:style w:type="paragraph" w:customStyle="1" w:styleId="Spacer">
    <w:name w:val="Spacer"/>
    <w:basedOn w:val="Normal"/>
    <w:rsid w:val="00B22AE9"/>
    <w:rPr>
      <w:sz w:val="2"/>
      <w:szCs w:val="2"/>
    </w:rPr>
  </w:style>
  <w:style w:type="character" w:customStyle="1" w:styleId="Small">
    <w:name w:val="Small"/>
    <w:basedOn w:val="DefaultParagraphFont"/>
    <w:rsid w:val="00B22AE9"/>
    <w:rPr>
      <w:sz w:val="16"/>
    </w:rPr>
  </w:style>
  <w:style w:type="paragraph" w:customStyle="1" w:styleId="WideTable">
    <w:name w:val="Wide Table"/>
    <w:basedOn w:val="Normal"/>
    <w:rsid w:val="00B22AE9"/>
    <w:pPr>
      <w:ind w:left="-1418"/>
    </w:pPr>
    <w:rPr>
      <w:sz w:val="2"/>
      <w:szCs w:val="2"/>
    </w:rPr>
  </w:style>
  <w:style w:type="character" w:styleId="PageNumber">
    <w:name w:val="page number"/>
    <w:basedOn w:val="DefaultParagraphFont"/>
    <w:rsid w:val="00B22AE9"/>
  </w:style>
  <w:style w:type="paragraph" w:styleId="Quote">
    <w:name w:val="Quote"/>
    <w:basedOn w:val="Heading1"/>
    <w:link w:val="QuoteChar"/>
    <w:qFormat/>
    <w:rsid w:val="00B22AE9"/>
    <w:rPr>
      <w:b w:val="0"/>
      <w:sz w:val="72"/>
      <w:szCs w:val="72"/>
      <w:lang w:val="en-NZ"/>
    </w:rPr>
  </w:style>
  <w:style w:type="character" w:customStyle="1" w:styleId="QuoteChar">
    <w:name w:val="Quote Char"/>
    <w:basedOn w:val="DefaultParagraphFont"/>
    <w:link w:val="Quote"/>
    <w:rsid w:val="00B22A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AE9"/>
    <w:pPr>
      <w:pageBreakBefore/>
    </w:pPr>
  </w:style>
  <w:style w:type="paragraph" w:customStyle="1" w:styleId="Border">
    <w:name w:val="Border"/>
    <w:basedOn w:val="Normal"/>
    <w:qFormat/>
    <w:rsid w:val="00B22A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AE9"/>
    <w:rPr>
      <w:b/>
      <w:bCs/>
      <w:i/>
      <w:iCs/>
      <w:color w:val="auto"/>
    </w:rPr>
  </w:style>
  <w:style w:type="paragraph" w:styleId="IntenseQuote">
    <w:name w:val="Intense Quote"/>
    <w:basedOn w:val="Normal"/>
    <w:next w:val="Normal"/>
    <w:link w:val="IntenseQuoteChar"/>
    <w:uiPriority w:val="30"/>
    <w:qFormat/>
    <w:rsid w:val="00B22A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A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AE9"/>
    <w:rPr>
      <w:smallCaps/>
      <w:color w:val="auto"/>
      <w:u w:val="single"/>
    </w:rPr>
  </w:style>
  <w:style w:type="character" w:styleId="IntenseReference">
    <w:name w:val="Intense Reference"/>
    <w:basedOn w:val="DefaultParagraphFont"/>
    <w:uiPriority w:val="32"/>
    <w:qFormat/>
    <w:rsid w:val="00B22AE9"/>
    <w:rPr>
      <w:b/>
      <w:bCs/>
      <w:smallCaps/>
      <w:color w:val="auto"/>
      <w:spacing w:val="5"/>
      <w:u w:val="single"/>
    </w:rPr>
  </w:style>
  <w:style w:type="paragraph" w:customStyle="1" w:styleId="2ColumnHeading">
    <w:name w:val="2Column Heading"/>
    <w:basedOn w:val="BodyText"/>
    <w:qFormat/>
    <w:rsid w:val="00B22AE9"/>
    <w:pPr>
      <w:spacing w:after="60"/>
      <w:ind w:left="-2268"/>
    </w:pPr>
    <w:rPr>
      <w:b/>
    </w:rPr>
  </w:style>
  <w:style w:type="paragraph" w:customStyle="1" w:styleId="Heading1TOC">
    <w:name w:val="Heading1 TOC"/>
    <w:basedOn w:val="Normal"/>
    <w:qFormat/>
    <w:rsid w:val="00B22AE9"/>
    <w:pPr>
      <w:spacing w:before="240" w:after="120"/>
    </w:pPr>
    <w:rPr>
      <w:rFonts w:ascii="Times New Roman" w:hAnsi="Times New Roman"/>
      <w:b/>
      <w:sz w:val="32"/>
    </w:rPr>
  </w:style>
  <w:style w:type="paragraph" w:customStyle="1" w:styleId="Heading2TOC">
    <w:name w:val="Heading2 TOC"/>
    <w:basedOn w:val="Normal"/>
    <w:qFormat/>
    <w:rsid w:val="00B22AE9"/>
    <w:pPr>
      <w:spacing w:before="240" w:after="60"/>
    </w:pPr>
    <w:rPr>
      <w:rFonts w:ascii="Times New Roman" w:hAnsi="Times New Roman"/>
      <w:b/>
      <w:sz w:val="28"/>
    </w:rPr>
  </w:style>
  <w:style w:type="character" w:customStyle="1" w:styleId="Underline">
    <w:name w:val="Underline"/>
    <w:basedOn w:val="DefaultParagraphFont"/>
    <w:qFormat/>
    <w:rsid w:val="00B22AE9"/>
    <w:rPr>
      <w:u w:val="single"/>
    </w:rPr>
  </w:style>
  <w:style w:type="character" w:customStyle="1" w:styleId="BoldandItalics">
    <w:name w:val="Bold and Italics"/>
    <w:qFormat/>
    <w:rsid w:val="00B22AE9"/>
    <w:rPr>
      <w:b/>
      <w:i/>
      <w:u w:val="none"/>
    </w:rPr>
  </w:style>
  <w:style w:type="paragraph" w:styleId="BalloonText">
    <w:name w:val="Balloon Text"/>
    <w:basedOn w:val="Normal"/>
    <w:link w:val="BalloonTextChar"/>
    <w:rsid w:val="00B22AE9"/>
    <w:rPr>
      <w:rFonts w:ascii="Tahoma" w:hAnsi="Tahoma" w:cs="Tahoma"/>
      <w:sz w:val="16"/>
      <w:szCs w:val="16"/>
    </w:rPr>
  </w:style>
  <w:style w:type="character" w:customStyle="1" w:styleId="BalloonTextChar">
    <w:name w:val="Balloon Text Char"/>
    <w:basedOn w:val="DefaultParagraphFont"/>
    <w:link w:val="BalloonText"/>
    <w:rsid w:val="00B22A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A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A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AE9"/>
    <w:rPr>
      <w:b/>
      <w:color w:val="660033"/>
      <w:spacing w:val="0"/>
    </w:rPr>
  </w:style>
  <w:style w:type="paragraph" w:customStyle="1" w:styleId="Nameditemlist">
    <w:name w:val="Named item list"/>
    <w:basedOn w:val="BodyText"/>
    <w:qFormat/>
    <w:rsid w:val="00B22AE9"/>
    <w:pPr>
      <w:tabs>
        <w:tab w:val="left" w:pos="2835"/>
      </w:tabs>
      <w:ind w:left="2835" w:hanging="2835"/>
    </w:pPr>
  </w:style>
  <w:style w:type="paragraph" w:customStyle="1" w:styleId="BodyTextnopadding">
    <w:name w:val="Body Text no padding"/>
    <w:basedOn w:val="BodyText"/>
    <w:qFormat/>
    <w:rsid w:val="00B22AE9"/>
    <w:pPr>
      <w:spacing w:before="0" w:after="0"/>
    </w:pPr>
  </w:style>
  <w:style w:type="paragraph" w:customStyle="1" w:styleId="BodyTextBold">
    <w:name w:val="Body Text Bold"/>
    <w:basedOn w:val="BodyText"/>
    <w:qFormat/>
    <w:rsid w:val="00B22AE9"/>
    <w:rPr>
      <w:b/>
    </w:rPr>
  </w:style>
  <w:style w:type="character" w:styleId="Hyperlink">
    <w:name w:val="Hyperlink"/>
    <w:basedOn w:val="DefaultParagraphFont"/>
    <w:uiPriority w:val="99"/>
    <w:unhideWhenUsed/>
    <w:rsid w:val="006E57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1502</Words>
  <Characters>9527</Characters>
  <Application>Microsoft Office Word</Application>
  <DocSecurity>0</DocSecurity>
  <Lines>433</Lines>
  <Paragraphs>268</Paragraphs>
  <ScaleCrop>false</ScaleCrop>
  <Company>Author-it Software Corporation Ltd.</Company>
  <LinksUpToDate>false</LinksUpToDate>
  <CharactersWithSpaces>10761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MEM21003 Perform watch case servicing, repair and refurbishment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2025-03-01T19:04:00Z</dcterms:created>
  <dcterms:modified xsi:type="dcterms:W3CDTF">2025-03-01T19:04:00Z</dcterms:modified>
</cp:coreProperties>
</file>