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2001F" w:rsidP="0082001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MEM21003 Perform watch case servicing, repair and refurbishment</w:t>
      </w:r>
      <w:r>
        <w:fldChar w:fldCharType="end"/>
      </w:r>
    </w:p>
    <w:p w:rsidR="0082001F" w:rsidP="0082001F">
      <w:pPr>
        <w:pStyle w:val="Version"/>
        <w:sectPr w:rsidSect="00872D6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72D6B" w:rsidP="00872D6B">
      <w:pPr>
        <w:pStyle w:val="SuperHeading"/>
      </w:pPr>
      <w:r w:rsidRPr="00872D6B">
        <w:t>Assessment Requirements for MEM21003 Perform watch case servicing, repair and refurbishment</w:t>
      </w:r>
    </w:p>
    <w:p w:rsidR="00000000" w:rsidRPr="00872D6B" w:rsidP="00872D6B">
      <w:pPr>
        <w:pStyle w:val="Heading1"/>
      </w:pPr>
      <w:bookmarkStart w:id="1" w:name="O_951156"/>
      <w:bookmarkEnd w:id="1"/>
      <w:r w:rsidRPr="00872D6B">
        <w:t>Modification History</w:t>
      </w:r>
    </w:p>
    <w:p w:rsidR="00000000" w:rsidRPr="00872D6B" w:rsidP="0082001F">
      <w:pPr>
        <w:pStyle w:val="BodyText"/>
      </w:pPr>
      <w:r w:rsidRPr="00872D6B">
        <w:t xml:space="preserve">Release 1. Supersedes and is equivalent to MEM21003A Perform watch case servicing, repair and refurbishment </w:t>
      </w:r>
    </w:p>
    <w:p w:rsidR="00000000" w:rsidRPr="00872D6B" w:rsidP="00872D6B">
      <w:pPr>
        <w:pStyle w:val="Heading1"/>
      </w:pPr>
      <w:bookmarkStart w:id="2" w:name="O_951159"/>
      <w:bookmarkEnd w:id="2"/>
      <w:r w:rsidRPr="00872D6B">
        <w:t>Performance Evidence</w:t>
      </w:r>
    </w:p>
    <w:p w:rsidR="00000000" w:rsidRPr="00872D6B" w:rsidP="0082001F">
      <w:pPr>
        <w:pStyle w:val="BodyText"/>
      </w:pPr>
      <w:r w:rsidRPr="00872D6B">
        <w:t>Evidence required to demonstrate competence in this unit must be relevant to and satisfy the requirements of the elements and performance criteria on at least two (2) occasions and include:</w:t>
      </w:r>
    </w:p>
    <w:p w:rsidR="00000000" w:rsidRPr="00872D6B" w:rsidP="00872D6B">
      <w:pPr>
        <w:pStyle w:val="ListBullet"/>
      </w:pPr>
      <w:r w:rsidRPr="00872D6B">
        <w:t>following work instructions, standard operat</w:t>
      </w:r>
      <w:r w:rsidRPr="00872D6B">
        <w:t xml:space="preserve">ing procedures (SOPs) and safe work practices </w:t>
      </w:r>
    </w:p>
    <w:p w:rsidR="00000000" w:rsidRPr="00872D6B" w:rsidP="00872D6B">
      <w:pPr>
        <w:pStyle w:val="ListBullet"/>
      </w:pPr>
      <w:r w:rsidRPr="00872D6B">
        <w:t>liaising with customer and verifying condition and performance, identifying repair costs and recording and documenting service/repair process</w:t>
      </w:r>
    </w:p>
    <w:p w:rsidR="00000000" w:rsidRPr="00872D6B" w:rsidP="00872D6B">
      <w:pPr>
        <w:pStyle w:val="ListBullet"/>
      </w:pPr>
      <w:r w:rsidRPr="00872D6B">
        <w:t>servicing, inspecting, repairing and replacing watch case component</w:t>
      </w:r>
      <w:r w:rsidRPr="00872D6B">
        <w:t xml:space="preserve">s in an appropriate work environment </w:t>
      </w:r>
    </w:p>
    <w:p w:rsidR="00000000" w:rsidRPr="00872D6B" w:rsidP="00872D6B">
      <w:pPr>
        <w:pStyle w:val="ListBullet"/>
      </w:pPr>
      <w:r w:rsidRPr="00872D6B">
        <w:t>selecting and using appropriate workshop tools, equipment and media for watch case servicing, polishing and graining</w:t>
      </w:r>
    </w:p>
    <w:p w:rsidR="00000000" w:rsidRPr="00872D6B" w:rsidP="00872D6B">
      <w:pPr>
        <w:pStyle w:val="ListBullet"/>
      </w:pPr>
      <w:r w:rsidRPr="00872D6B">
        <w:t xml:space="preserve">determining and conducting appropriate tests for water-resistant watches </w:t>
      </w:r>
    </w:p>
    <w:p w:rsidR="00000000" w:rsidRPr="00872D6B" w:rsidP="00872D6B">
      <w:pPr>
        <w:pStyle w:val="ListBullet"/>
      </w:pPr>
      <w:r w:rsidRPr="00872D6B">
        <w:t>safely cleaning watch cases</w:t>
      </w:r>
      <w:r w:rsidRPr="00872D6B">
        <w:t xml:space="preserve"> and bands.</w:t>
      </w:r>
    </w:p>
    <w:p w:rsidR="00000000" w:rsidRPr="00872D6B" w:rsidP="00872D6B">
      <w:pPr>
        <w:pStyle w:val="AllowPageBreak"/>
      </w:pPr>
    </w:p>
    <w:p w:rsidR="00000000" w:rsidRPr="00872D6B" w:rsidP="00872D6B">
      <w:pPr>
        <w:pStyle w:val="Heading1"/>
      </w:pPr>
      <w:bookmarkStart w:id="3" w:name="O_951158"/>
      <w:bookmarkEnd w:id="3"/>
      <w:r w:rsidRPr="00872D6B">
        <w:t>Knowledge Evidence</w:t>
      </w:r>
    </w:p>
    <w:p w:rsidR="00000000" w:rsidRPr="00872D6B" w:rsidP="0082001F">
      <w:pPr>
        <w:pStyle w:val="BodyText"/>
      </w:pPr>
      <w:r w:rsidRPr="00872D6B">
        <w:t>Evidence required to demonstrate the required knowledge for this unit must be relevant to and satisfy the requirements of the elements and performance criteria and include knowledge of:</w:t>
      </w:r>
    </w:p>
    <w:p w:rsidR="00000000" w:rsidRPr="00872D6B" w:rsidP="00872D6B">
      <w:pPr>
        <w:pStyle w:val="ListBullet"/>
      </w:pPr>
      <w:r w:rsidRPr="00872D6B">
        <w:t>safe work practices a</w:t>
      </w:r>
      <w:r w:rsidRPr="00872D6B">
        <w:t>nd procedures and use of personal protective equipment (PPE)</w:t>
      </w:r>
    </w:p>
    <w:p w:rsidR="00000000" w:rsidRPr="00872D6B" w:rsidP="00872D6B">
      <w:pPr>
        <w:pStyle w:val="ListBullet"/>
      </w:pPr>
      <w:r w:rsidRPr="00872D6B">
        <w:t>types of construction of watch cases by style, design, material and quality</w:t>
      </w:r>
    </w:p>
    <w:p w:rsidR="00000000" w:rsidRPr="00872D6B" w:rsidP="00872D6B">
      <w:pPr>
        <w:pStyle w:val="ListBullet"/>
      </w:pPr>
      <w:r w:rsidRPr="00872D6B">
        <w:t>types of watch glass materials, construction and fitting procedures, including use of adhesives, as required</w:t>
      </w:r>
    </w:p>
    <w:p w:rsidR="00000000" w:rsidRPr="00872D6B" w:rsidP="00872D6B">
      <w:pPr>
        <w:pStyle w:val="ListBullet"/>
      </w:pPr>
      <w:r w:rsidRPr="00872D6B">
        <w:t>types of c</w:t>
      </w:r>
      <w:r w:rsidRPr="00872D6B">
        <w:t>rown construction by style, design, material and quality</w:t>
      </w:r>
    </w:p>
    <w:p w:rsidR="00000000" w:rsidRPr="00872D6B" w:rsidP="00872D6B">
      <w:pPr>
        <w:pStyle w:val="ListBullet"/>
      </w:pPr>
      <w:r w:rsidRPr="00872D6B">
        <w:t>types of case gasket materials and construction fitting procedures</w:t>
      </w:r>
    </w:p>
    <w:p w:rsidR="00000000" w:rsidRPr="00872D6B" w:rsidP="00872D6B">
      <w:pPr>
        <w:pStyle w:val="ListBullet"/>
      </w:pPr>
      <w:r w:rsidRPr="00872D6B">
        <w:t>types of crown styles, materials and construction</w:t>
      </w:r>
    </w:p>
    <w:p w:rsidR="00000000" w:rsidRPr="00872D6B" w:rsidP="00872D6B">
      <w:pPr>
        <w:pStyle w:val="ListBullet"/>
      </w:pPr>
      <w:r w:rsidRPr="00872D6B">
        <w:t>types of pushbutton construction</w:t>
      </w:r>
    </w:p>
    <w:p w:rsidR="00000000" w:rsidRPr="00872D6B" w:rsidP="00872D6B">
      <w:pPr>
        <w:pStyle w:val="ListBullet"/>
      </w:pPr>
      <w:r w:rsidRPr="00872D6B">
        <w:t>standards for water-resistance ratings</w:t>
      </w:r>
    </w:p>
    <w:p w:rsidR="00000000" w:rsidRPr="00872D6B" w:rsidP="00872D6B">
      <w:pPr>
        <w:pStyle w:val="ListBullet"/>
      </w:pPr>
      <w:r w:rsidRPr="00872D6B">
        <w:t xml:space="preserve">standards for water-resistance testing methods </w:t>
      </w:r>
    </w:p>
    <w:p w:rsidR="00000000" w:rsidRPr="00872D6B" w:rsidP="00872D6B">
      <w:pPr>
        <w:pStyle w:val="ListBullet"/>
      </w:pPr>
      <w:r w:rsidRPr="00872D6B">
        <w:t>procedures for testing water-resistant and divers watches</w:t>
      </w:r>
    </w:p>
    <w:p w:rsidR="00000000" w:rsidRPr="00872D6B" w:rsidP="00872D6B">
      <w:pPr>
        <w:pStyle w:val="ListBullet"/>
      </w:pPr>
      <w:r w:rsidRPr="00872D6B">
        <w:t>function and operating principles for water-resistance testing</w:t>
      </w:r>
    </w:p>
    <w:p w:rsidR="00000000" w:rsidRPr="00872D6B" w:rsidP="00872D6B">
      <w:pPr>
        <w:pStyle w:val="ListBullet"/>
      </w:pPr>
      <w:r w:rsidRPr="00872D6B">
        <w:t>tools and equipment for servicing watch cases and components</w:t>
      </w:r>
    </w:p>
    <w:p w:rsidR="00000000" w:rsidRPr="00872D6B" w:rsidP="00872D6B">
      <w:pPr>
        <w:pStyle w:val="ListBullet"/>
      </w:pPr>
      <w:r w:rsidRPr="00872D6B">
        <w:t>watch case cleaning method</w:t>
      </w:r>
      <w:r w:rsidRPr="00872D6B">
        <w:t>s</w:t>
      </w:r>
    </w:p>
    <w:p w:rsidR="00000000" w:rsidRPr="00872D6B" w:rsidP="00872D6B">
      <w:pPr>
        <w:pStyle w:val="ListBullet"/>
      </w:pPr>
      <w:r w:rsidRPr="00872D6B">
        <w:t>types of band construction, components and materials.</w:t>
      </w:r>
    </w:p>
    <w:p w:rsidR="00000000" w:rsidRPr="00872D6B" w:rsidP="00872D6B">
      <w:pPr>
        <w:pStyle w:val="AllowPageBreak"/>
      </w:pPr>
    </w:p>
    <w:p w:rsidR="00000000" w:rsidRPr="00872D6B" w:rsidP="00872D6B">
      <w:pPr>
        <w:pStyle w:val="Heading1"/>
      </w:pPr>
      <w:bookmarkStart w:id="4" w:name="O_951157"/>
      <w:bookmarkEnd w:id="4"/>
      <w:r w:rsidRPr="00872D6B">
        <w:t>Assessment Conditions</w:t>
      </w:r>
    </w:p>
    <w:p w:rsidR="00000000" w:rsidRPr="00872D6B" w:rsidP="00872D6B">
      <w:pPr>
        <w:pStyle w:val="ListBullet"/>
      </w:pPr>
      <w:r w:rsidRPr="00872D6B">
        <w:t>Assessors must:</w:t>
      </w:r>
    </w:p>
    <w:p w:rsidR="00000000" w:rsidRPr="00872D6B" w:rsidP="00872D6B">
      <w:pPr>
        <w:pStyle w:val="ListBullet2"/>
      </w:pPr>
      <w:r w:rsidRPr="00872D6B">
        <w:t>have vocational competency in performing watch case servicing, repair and refurbishment at least to the level being assessed with relevant indu</w:t>
      </w:r>
      <w:r w:rsidRPr="00872D6B">
        <w:t>stry knowledge and experience</w:t>
      </w:r>
    </w:p>
    <w:p w:rsidR="00000000" w:rsidRPr="00872D6B" w:rsidP="00872D6B">
      <w:pPr>
        <w:pStyle w:val="ListBullet2"/>
      </w:pPr>
      <w:r w:rsidRPr="00872D6B">
        <w:t xml:space="preserve">satisfy the assessor requirements in the </w:t>
      </w:r>
      <w:r w:rsidRPr="00872D6B">
        <w:rPr>
          <w:rStyle w:val="Emphasis"/>
        </w:rPr>
        <w:t xml:space="preserve">Standards for Registered Training Organisations 2015 </w:t>
      </w:r>
      <w:r w:rsidRPr="00872D6B">
        <w:t>or its replacement</w:t>
      </w:r>
      <w:r w:rsidRPr="00872D6B">
        <w:rPr>
          <w:rStyle w:val="Emphasis"/>
        </w:rPr>
        <w:t xml:space="preserve"> </w:t>
      </w:r>
      <w:r w:rsidRPr="00872D6B">
        <w:t xml:space="preserve">and comply with the </w:t>
      </w:r>
      <w:r w:rsidRPr="00872D6B">
        <w:rPr>
          <w:rStyle w:val="Emphasis"/>
        </w:rPr>
        <w:t xml:space="preserve">National Vocational Education and Training Regulator Act 2011, </w:t>
      </w:r>
      <w:r w:rsidRPr="00872D6B">
        <w:t>its replacement</w:t>
      </w:r>
      <w:r w:rsidRPr="00872D6B">
        <w:rPr>
          <w:rStyle w:val="Emphasis"/>
        </w:rPr>
        <w:t xml:space="preserve"> </w:t>
      </w:r>
      <w:r w:rsidRPr="00872D6B">
        <w:t xml:space="preserve">or equivalent </w:t>
      </w:r>
      <w:r w:rsidRPr="00872D6B">
        <w:t>legislation covering VET regulation in a non-referring state/territory as the case requires</w:t>
      </w:r>
    </w:p>
    <w:p w:rsidR="00000000" w:rsidRPr="00872D6B" w:rsidP="00872D6B">
      <w:pPr>
        <w:pStyle w:val="ListBullet"/>
      </w:pPr>
      <w:r w:rsidRPr="00872D6B">
        <w:t xml:space="preserve">Where possible assessment must occur in operational workplace situations. Where this is not possible or where personal safety or environmental damage are limiting </w:t>
      </w:r>
      <w:r w:rsidRPr="00872D6B">
        <w:t>factors, assessment must occur in a sufficiently rigorous simulated environment that reflects realistic operational workplace conditions. This must cover all aspects of workplace performance, including environment, task skills, task management skills, cont</w:t>
      </w:r>
      <w:r w:rsidRPr="00872D6B">
        <w:t>ingency management skills and job role environment skills</w:t>
      </w:r>
    </w:p>
    <w:p w:rsidR="00000000" w:rsidRPr="00872D6B" w:rsidP="00872D6B">
      <w:pPr>
        <w:pStyle w:val="ListBullet"/>
      </w:pPr>
      <w:r w:rsidRPr="00872D6B">
        <w:t>Conditions for assessment must include access to all tools, equipment, materials and documentation required, including relevant workplace procedures, product and manufacturing specifications</w:t>
      </w:r>
    </w:p>
    <w:p w:rsidR="00000000" w:rsidRPr="00872D6B" w:rsidP="00872D6B">
      <w:pPr>
        <w:pStyle w:val="ListBullet"/>
      </w:pPr>
      <w:r w:rsidRPr="00872D6B">
        <w:t>Assessment processes and techniques must be appropriate to the language, literacy and numeracy requirements of the work being performed and the needs of the candidate.</w:t>
      </w:r>
    </w:p>
    <w:p w:rsidR="00000000" w:rsidRPr="00872D6B" w:rsidP="00872D6B">
      <w:pPr>
        <w:pStyle w:val="AllowPageBreak"/>
      </w:pPr>
    </w:p>
    <w:p w:rsidR="00000000" w:rsidRPr="00872D6B" w:rsidP="00872D6B">
      <w:pPr>
        <w:pStyle w:val="Heading1"/>
      </w:pPr>
      <w:bookmarkStart w:id="5" w:name="O_951155"/>
      <w:bookmarkEnd w:id="5"/>
      <w:r w:rsidRPr="00872D6B">
        <w:t>Links</w:t>
      </w:r>
    </w:p>
    <w:p w:rsidR="00000000" w:rsidRPr="00872D6B" w:rsidP="0082001F">
      <w:pPr>
        <w:pStyle w:val="BodyText"/>
      </w:pPr>
      <w:r w:rsidRPr="00872D6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9150B4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872D6B" w:rsidP="00872D6B"/>
    <w:sectPr w:rsidSect="00872D6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001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001F">
    <w:pPr>
      <w:pStyle w:val="Footer"/>
      <w:framePr w:wrap="around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001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001F" w:rsidP="00872D6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82001F" w:rsidP="00872D6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82001F" w:rsidP="00872D6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001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001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72D6B" w:rsidRPr="0082001F" w:rsidP="0082001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001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001F" w:rsidRPr="002D2AF8" w:rsidP="00872D6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MEM21003 Perform watch case servicing, repair and refurbishment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82001F" w:rsidP="00872D6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170C5A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750EA9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4D6A60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72D6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72D6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72D6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72D6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72D6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72D6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72D6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72D6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72D6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72D6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72D6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72D6B"/>
  </w:style>
  <w:style w:type="character" w:customStyle="1" w:styleId="Heading1Char">
    <w:name w:val="Heading 1 Char"/>
    <w:basedOn w:val="DefaultParagraphFont"/>
    <w:link w:val="Heading1"/>
    <w:rsid w:val="00872D6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72D6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72D6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72D6B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872D6B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872D6B"/>
    <w:rPr>
      <w:i/>
    </w:rPr>
  </w:style>
  <w:style w:type="paragraph" w:customStyle="1" w:styleId="SuperHeading">
    <w:name w:val="SuperHeading"/>
    <w:basedOn w:val="Normal"/>
    <w:rsid w:val="00872D6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72D6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72D6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72D6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72D6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72D6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72D6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72D6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72D6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72D6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72D6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72D6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72D6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72D6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72D6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72D6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72D6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72D6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72D6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72D6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72D6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72D6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872D6B"/>
    <w:rPr>
      <w:b/>
      <w:spacing w:val="0"/>
    </w:rPr>
  </w:style>
  <w:style w:type="paragraph" w:customStyle="1" w:styleId="SuperTitle">
    <w:name w:val="SuperTitle"/>
    <w:basedOn w:val="Title"/>
    <w:rsid w:val="00872D6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72D6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72D6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72D6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72D6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72D6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72D6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72D6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72D6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72D6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72D6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72D6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72D6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72D6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72D6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72D6B"/>
  </w:style>
  <w:style w:type="paragraph" w:styleId="TableofFigures">
    <w:name w:val="table of figures"/>
    <w:basedOn w:val="Normal"/>
    <w:next w:val="Normal"/>
    <w:semiHidden/>
    <w:rsid w:val="00872D6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72D6B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872D6B"/>
    <w:rPr>
      <w:rFonts w:ascii="Wingdings" w:hAnsi="Wingdings"/>
    </w:rPr>
  </w:style>
  <w:style w:type="paragraph" w:customStyle="1" w:styleId="TableHeading">
    <w:name w:val="Table Heading"/>
    <w:basedOn w:val="HeadingBase"/>
    <w:rsid w:val="00872D6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72D6B"/>
    <w:rPr>
      <w:color w:val="0033CC"/>
      <w:u w:val="none"/>
    </w:rPr>
  </w:style>
  <w:style w:type="paragraph" w:customStyle="1" w:styleId="BodyTextRight">
    <w:name w:val="Body Text Right"/>
    <w:basedOn w:val="BodyText"/>
    <w:rsid w:val="00872D6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72D6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72D6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72D6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72D6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72D6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72D6B"/>
    <w:rPr>
      <w:sz w:val="32"/>
    </w:rPr>
  </w:style>
  <w:style w:type="paragraph" w:customStyle="1" w:styleId="HeadingProcedure">
    <w:name w:val="Heading Procedure"/>
    <w:basedOn w:val="HeadingBase"/>
    <w:next w:val="Normal"/>
    <w:rsid w:val="00872D6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72D6B"/>
    <w:pPr>
      <w:spacing w:before="60" w:after="60"/>
    </w:pPr>
  </w:style>
  <w:style w:type="paragraph" w:styleId="ListContinue">
    <w:name w:val="List Continue"/>
    <w:basedOn w:val="List"/>
    <w:rsid w:val="00872D6B"/>
    <w:pPr>
      <w:ind w:firstLine="0"/>
    </w:pPr>
  </w:style>
  <w:style w:type="paragraph" w:customStyle="1" w:styleId="ListNote">
    <w:name w:val="List Note"/>
    <w:basedOn w:val="List"/>
    <w:rsid w:val="00872D6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72D6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72D6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72D6B"/>
    <w:rPr>
      <w:rFonts w:ascii="Courier New" w:hAnsi="Courier New"/>
    </w:rPr>
  </w:style>
  <w:style w:type="paragraph" w:customStyle="1" w:styleId="NoteBullet">
    <w:name w:val="Note Bullet"/>
    <w:basedOn w:val="Note"/>
    <w:rsid w:val="00872D6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72D6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72D6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72D6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72D6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72D6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72D6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72D6B"/>
    <w:rPr>
      <w:b/>
      <w:smallCaps/>
    </w:rPr>
  </w:style>
  <w:style w:type="paragraph" w:customStyle="1" w:styleId="TableListNumber">
    <w:name w:val="Table List Number"/>
    <w:basedOn w:val="ListNumber"/>
    <w:rsid w:val="00872D6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72D6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72D6B"/>
    <w:pPr>
      <w:numPr>
        <w:numId w:val="9"/>
      </w:numPr>
    </w:pPr>
  </w:style>
  <w:style w:type="paragraph" w:customStyle="1" w:styleId="ListAlpha2">
    <w:name w:val="List Alpha 2"/>
    <w:basedOn w:val="List2"/>
    <w:rsid w:val="00872D6B"/>
    <w:pPr>
      <w:numPr>
        <w:numId w:val="8"/>
      </w:numPr>
    </w:pPr>
  </w:style>
  <w:style w:type="paragraph" w:styleId="List2">
    <w:name w:val="List 2"/>
    <w:basedOn w:val="BodyText"/>
    <w:rsid w:val="00872D6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72D6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72D6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72D6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72D6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72D6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72D6B"/>
    <w:pPr>
      <w:numPr>
        <w:numId w:val="4"/>
      </w:numPr>
    </w:pPr>
  </w:style>
  <w:style w:type="paragraph" w:styleId="ListContinue2">
    <w:name w:val="List Continue 2"/>
    <w:basedOn w:val="List2"/>
    <w:rsid w:val="00872D6B"/>
    <w:pPr>
      <w:ind w:firstLine="0"/>
    </w:pPr>
  </w:style>
  <w:style w:type="paragraph" w:styleId="ListContinue3">
    <w:name w:val="List Continue 3"/>
    <w:basedOn w:val="List3"/>
    <w:rsid w:val="00872D6B"/>
    <w:pPr>
      <w:ind w:left="1021" w:firstLine="0"/>
    </w:pPr>
  </w:style>
  <w:style w:type="paragraph" w:styleId="ListContinue4">
    <w:name w:val="List Continue 4"/>
    <w:basedOn w:val="List4"/>
    <w:rsid w:val="00872D6B"/>
    <w:pPr>
      <w:ind w:firstLine="0"/>
    </w:pPr>
  </w:style>
  <w:style w:type="paragraph" w:styleId="ListContinue5">
    <w:name w:val="List Continue 5"/>
    <w:basedOn w:val="List5"/>
    <w:rsid w:val="00872D6B"/>
    <w:pPr>
      <w:ind w:firstLine="0"/>
    </w:pPr>
  </w:style>
  <w:style w:type="paragraph" w:styleId="ListNumber3">
    <w:name w:val="List Number 3"/>
    <w:basedOn w:val="List3"/>
    <w:rsid w:val="00872D6B"/>
    <w:pPr>
      <w:numPr>
        <w:numId w:val="5"/>
      </w:numPr>
    </w:pPr>
  </w:style>
  <w:style w:type="paragraph" w:styleId="ListNumber4">
    <w:name w:val="List Number 4"/>
    <w:basedOn w:val="List4"/>
    <w:rsid w:val="00872D6B"/>
    <w:pPr>
      <w:numPr>
        <w:numId w:val="6"/>
      </w:numPr>
    </w:pPr>
  </w:style>
  <w:style w:type="paragraph" w:styleId="ListNumber5">
    <w:name w:val="List Number 5"/>
    <w:basedOn w:val="List5"/>
    <w:rsid w:val="00872D6B"/>
    <w:pPr>
      <w:numPr>
        <w:numId w:val="7"/>
      </w:numPr>
    </w:pPr>
  </w:style>
  <w:style w:type="paragraph" w:styleId="BlockText">
    <w:name w:val="Block Text"/>
    <w:basedOn w:val="Normal"/>
    <w:rsid w:val="00872D6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72D6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72D6B"/>
    <w:rPr>
      <w:sz w:val="16"/>
      <w:vertAlign w:val="superscript"/>
    </w:rPr>
  </w:style>
  <w:style w:type="character" w:customStyle="1" w:styleId="Symbols">
    <w:name w:val="Symbols"/>
    <w:basedOn w:val="DefaultParagraphFont"/>
    <w:rsid w:val="00872D6B"/>
    <w:rPr>
      <w:rFonts w:ascii="Symbol" w:hAnsi="Symbol"/>
    </w:rPr>
  </w:style>
  <w:style w:type="character" w:customStyle="1" w:styleId="MenuOptions">
    <w:name w:val="Menu Options"/>
    <w:basedOn w:val="DefaultParagraphFont"/>
    <w:rsid w:val="00872D6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72D6B"/>
    <w:rPr>
      <w:b/>
    </w:rPr>
  </w:style>
  <w:style w:type="character" w:customStyle="1" w:styleId="Underlined">
    <w:name w:val="Underlined"/>
    <w:basedOn w:val="DefaultParagraphFont"/>
    <w:rsid w:val="00872D6B"/>
    <w:rPr>
      <w:u w:val="single"/>
    </w:rPr>
  </w:style>
  <w:style w:type="paragraph" w:customStyle="1" w:styleId="TableBodyTextRight">
    <w:name w:val="Table Body Text Right"/>
    <w:basedOn w:val="TableBodyText"/>
    <w:rsid w:val="00872D6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72D6B"/>
    <w:rPr>
      <w:sz w:val="18"/>
    </w:rPr>
  </w:style>
  <w:style w:type="paragraph" w:customStyle="1" w:styleId="BodySmallRight">
    <w:name w:val="Body Small Right"/>
    <w:basedOn w:val="BodyTextRight"/>
    <w:rsid w:val="00872D6B"/>
    <w:rPr>
      <w:sz w:val="18"/>
      <w:szCs w:val="18"/>
    </w:rPr>
  </w:style>
  <w:style w:type="paragraph" w:customStyle="1" w:styleId="MarginEdition">
    <w:name w:val="Margin Edition"/>
    <w:basedOn w:val="MarginNote"/>
    <w:rsid w:val="00872D6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72D6B"/>
    <w:rPr>
      <w:sz w:val="2"/>
      <w:szCs w:val="2"/>
    </w:rPr>
  </w:style>
  <w:style w:type="character" w:customStyle="1" w:styleId="Small">
    <w:name w:val="Small"/>
    <w:basedOn w:val="DefaultParagraphFont"/>
    <w:rsid w:val="00872D6B"/>
    <w:rPr>
      <w:sz w:val="16"/>
    </w:rPr>
  </w:style>
  <w:style w:type="paragraph" w:customStyle="1" w:styleId="WideTable">
    <w:name w:val="Wide Table"/>
    <w:basedOn w:val="Normal"/>
    <w:rsid w:val="00872D6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72D6B"/>
  </w:style>
  <w:style w:type="paragraph" w:styleId="Quote">
    <w:name w:val="Quote"/>
    <w:basedOn w:val="Heading1"/>
    <w:link w:val="QuoteChar"/>
    <w:qFormat/>
    <w:rsid w:val="00872D6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72D6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72D6B"/>
    <w:pPr>
      <w:pageBreakBefore/>
    </w:pPr>
  </w:style>
  <w:style w:type="paragraph" w:customStyle="1" w:styleId="Border">
    <w:name w:val="Border"/>
    <w:basedOn w:val="Normal"/>
    <w:qFormat/>
    <w:rsid w:val="00872D6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72D6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72D6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72D6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72D6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72D6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72D6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72D6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72D6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72D6B"/>
    <w:rPr>
      <w:u w:val="single"/>
    </w:rPr>
  </w:style>
  <w:style w:type="character" w:customStyle="1" w:styleId="BoldandItalics">
    <w:name w:val="Bold and Italics"/>
    <w:qFormat/>
    <w:rsid w:val="00872D6B"/>
    <w:rPr>
      <w:b/>
      <w:i/>
      <w:u w:val="none"/>
    </w:rPr>
  </w:style>
  <w:style w:type="paragraph" w:styleId="BalloonText">
    <w:name w:val="Balloon Text"/>
    <w:basedOn w:val="Normal"/>
    <w:link w:val="BalloonTextChar"/>
    <w:rsid w:val="00872D6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72D6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72D6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72D6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72D6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72D6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72D6B"/>
    <w:pPr>
      <w:spacing w:before="0" w:after="0"/>
    </w:pPr>
  </w:style>
  <w:style w:type="paragraph" w:customStyle="1" w:styleId="BodyTextBold">
    <w:name w:val="Body Text Bold"/>
    <w:basedOn w:val="BodyText"/>
    <w:qFormat/>
    <w:rsid w:val="00872D6B"/>
    <w:rPr>
      <w:b/>
    </w:rPr>
  </w:style>
  <w:style w:type="character" w:styleId="Hyperlink">
    <w:name w:val="Hyperlink"/>
    <w:basedOn w:val="DefaultParagraphFont"/>
    <w:uiPriority w:val="99"/>
    <w:unhideWhenUsed/>
    <w:rsid w:val="0082001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497</Words>
  <Characters>3338</Characters>
  <Application>Microsoft Office Word</Application>
  <DocSecurity>0</DocSecurity>
  <Lines>72</Lines>
  <Paragraphs>45</Paragraphs>
  <ScaleCrop>false</ScaleCrop>
  <Company>Author-it Software Corporation Ltd.</Company>
  <LinksUpToDate>false</LinksUpToDate>
  <CharactersWithSpaces>3790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MEM21003 Perform watch case servicing, repair and refurbishment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2023-02-03T07:00:00Z</dcterms:created>
  <dcterms:modified xsi:type="dcterms:W3CDTF">2023-02-03T07:00:00Z</dcterms:modified>
</cp:coreProperties>
</file>