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BFA" w:rsidP="00FA3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MEM21002 Perform watch movement exchange</w:t>
      </w:r>
      <w:r>
        <w:fldChar w:fldCharType="end"/>
      </w:r>
    </w:p>
    <w:p w:rsidR="00FA3BFA" w:rsidP="00FA3BFA">
      <w:pPr>
        <w:pStyle w:val="Version"/>
        <w:sectPr w:rsidSect="007E5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3FB" w:rsidP="007E53FB">
      <w:pPr>
        <w:pStyle w:val="SuperHeading"/>
      </w:pPr>
      <w:r w:rsidRPr="007E53FB">
        <w:t>Assessment Requirements for MEM21002 Perform watch movement exchange</w:t>
      </w:r>
    </w:p>
    <w:p w:rsidR="00000000" w:rsidRPr="007E53FB" w:rsidP="007E53FB">
      <w:pPr>
        <w:pStyle w:val="Heading1"/>
      </w:pPr>
      <w:bookmarkStart w:id="1" w:name="O_951137"/>
      <w:bookmarkEnd w:id="1"/>
      <w:r w:rsidRPr="007E53FB">
        <w:t>Modification History</w:t>
      </w:r>
    </w:p>
    <w:p w:rsidR="00000000" w:rsidRPr="007E53FB" w:rsidP="00FA3BFA">
      <w:pPr>
        <w:pStyle w:val="BodyText"/>
      </w:pPr>
      <w:r w:rsidRPr="007E53FB">
        <w:t xml:space="preserve">Release 1. Supersedes and is equivalent to MEM21002A Perform watch movement exchange </w:t>
      </w:r>
    </w:p>
    <w:p w:rsidR="00000000" w:rsidRPr="007E53FB" w:rsidP="007E53FB">
      <w:pPr>
        <w:pStyle w:val="Heading1"/>
      </w:pPr>
      <w:bookmarkStart w:id="2" w:name="O_951140"/>
      <w:bookmarkEnd w:id="2"/>
      <w:r w:rsidRPr="007E53FB">
        <w:t>Performance Evidence</w:t>
      </w:r>
    </w:p>
    <w:p w:rsidR="00000000" w:rsidRPr="007E53FB" w:rsidP="00FA3BFA">
      <w:pPr>
        <w:pStyle w:val="BodyText"/>
      </w:pPr>
      <w:r w:rsidRPr="007E53FB">
        <w:t>Evidence required to demonstrate competence in this unit must be relevant to and satisfy the requirements of the elements and performance criteria on at least two (2) occasions and include:</w:t>
      </w:r>
    </w:p>
    <w:p w:rsidR="00000000" w:rsidRPr="007E53FB" w:rsidP="007E53FB">
      <w:pPr>
        <w:pStyle w:val="ListBullet"/>
      </w:pPr>
      <w:r w:rsidRPr="007E53FB">
        <w:t>following work instructions, standard operating procedures (SOPs)</w:t>
      </w:r>
      <w:r w:rsidRPr="007E53FB">
        <w:t xml:space="preserve"> and safe work practices </w:t>
      </w:r>
    </w:p>
    <w:p w:rsidR="00000000" w:rsidRPr="007E53FB" w:rsidP="007E53FB">
      <w:pPr>
        <w:pStyle w:val="ListBullet"/>
      </w:pPr>
      <w:r w:rsidRPr="007E53FB">
        <w:t>liaising with customer and verifying condition and performance, identifying repair costs and recording and documenting repair process</w:t>
      </w:r>
    </w:p>
    <w:p w:rsidR="00000000" w:rsidRPr="007E53FB" w:rsidP="007E53FB">
      <w:pPr>
        <w:pStyle w:val="ListBullet"/>
      </w:pPr>
      <w:r w:rsidRPr="007E53FB">
        <w:t>opening and closing watch cases for watch movement exchange using appropriate workshop tools and</w:t>
      </w:r>
      <w:r w:rsidRPr="007E53FB">
        <w:t xml:space="preserve"> equipment </w:t>
      </w:r>
    </w:p>
    <w:p w:rsidR="00000000" w:rsidRPr="007E53FB" w:rsidP="007E53FB">
      <w:pPr>
        <w:pStyle w:val="ListBullet"/>
      </w:pPr>
      <w:r w:rsidRPr="007E53FB">
        <w:t>cleaning watch components in accordance with procedures</w:t>
      </w:r>
    </w:p>
    <w:p w:rsidR="00000000" w:rsidRPr="007E53FB" w:rsidP="007E53FB">
      <w:pPr>
        <w:pStyle w:val="ListBullet"/>
      </w:pPr>
      <w:r w:rsidRPr="007E53FB">
        <w:t>replacing watch movements for both quartz and mechanical watches in an appropriate work environment without damage or marking movement</w:t>
      </w:r>
    </w:p>
    <w:p w:rsidR="00000000" w:rsidRPr="007E53FB" w:rsidP="007E53FB">
      <w:pPr>
        <w:pStyle w:val="ListBullet"/>
      </w:pPr>
      <w:r w:rsidRPr="007E53FB">
        <w:t>selecting and fitting replacement case parts, crown a</w:t>
      </w:r>
      <w:r w:rsidRPr="007E53FB">
        <w:t xml:space="preserve">nd stems without damage and performing custom replacement, as required  </w:t>
      </w:r>
    </w:p>
    <w:p w:rsidR="00000000" w:rsidRPr="007E53FB" w:rsidP="007E53FB">
      <w:pPr>
        <w:pStyle w:val="ListBullet"/>
      </w:pPr>
      <w:r w:rsidRPr="007E53FB">
        <w:t xml:space="preserve">removing and replacing hands and dials without damaging or marking components and checking and servicing hands and dials </w:t>
      </w:r>
    </w:p>
    <w:p w:rsidR="00000000" w:rsidRPr="007E53FB" w:rsidP="007E53FB">
      <w:pPr>
        <w:pStyle w:val="ListBullet"/>
      </w:pPr>
      <w:r w:rsidRPr="007E53FB">
        <w:t xml:space="preserve">ensuring correct dial, hand alignment and clearances </w:t>
      </w:r>
    </w:p>
    <w:p w:rsidR="00000000" w:rsidRPr="007E53FB" w:rsidP="007E53FB">
      <w:pPr>
        <w:pStyle w:val="ListBullet"/>
      </w:pPr>
      <w:r w:rsidRPr="007E53FB">
        <w:t>recordi</w:t>
      </w:r>
      <w:r w:rsidRPr="007E53FB">
        <w:t>ng and documenting repairs.</w:t>
      </w:r>
    </w:p>
    <w:p w:rsidR="00000000" w:rsidRPr="007E53FB" w:rsidP="007E53FB">
      <w:pPr>
        <w:pStyle w:val="AllowPageBreak"/>
      </w:pPr>
    </w:p>
    <w:p w:rsidR="00000000" w:rsidRPr="007E53FB" w:rsidP="007E53FB">
      <w:pPr>
        <w:pStyle w:val="Heading1"/>
      </w:pPr>
      <w:bookmarkStart w:id="3" w:name="O_951139"/>
      <w:bookmarkEnd w:id="3"/>
      <w:r w:rsidRPr="007E53FB">
        <w:t>Knowledge Evidence</w:t>
      </w:r>
    </w:p>
    <w:p w:rsidR="00000000" w:rsidRPr="007E53FB" w:rsidP="00FA3BFA">
      <w:pPr>
        <w:pStyle w:val="BodyText"/>
      </w:pPr>
      <w:r w:rsidRPr="007E53FB">
        <w:t>Evidence required to demonstrate the required knowledge for this unit must be relevant to and satisfy the requirements of the elements and performance criteria and include knowledge of:</w:t>
      </w:r>
    </w:p>
    <w:p w:rsidR="00000000" w:rsidRPr="007E53FB" w:rsidP="007E53FB">
      <w:pPr>
        <w:pStyle w:val="ListBullet"/>
      </w:pPr>
      <w:r w:rsidRPr="007E53FB">
        <w:t xml:space="preserve">safe </w:t>
      </w:r>
      <w:r w:rsidRPr="007E53FB">
        <w:t>work practices and procedures and use of personal protective equipment (PPE)</w:t>
      </w:r>
    </w:p>
    <w:p w:rsidR="00000000" w:rsidRPr="007E53FB" w:rsidP="007E53FB">
      <w:pPr>
        <w:pStyle w:val="ListBullet"/>
      </w:pPr>
      <w:r w:rsidRPr="007E53FB">
        <w:t>types of watch construction</w:t>
      </w:r>
    </w:p>
    <w:p w:rsidR="00000000" w:rsidRPr="007E53FB" w:rsidP="007E53FB">
      <w:pPr>
        <w:pStyle w:val="ListBullet"/>
      </w:pPr>
      <w:r w:rsidRPr="007E53FB">
        <w:t xml:space="preserve">methods of identifying watches requiring water-resistance or pressure testing </w:t>
      </w:r>
    </w:p>
    <w:p w:rsidR="00000000" w:rsidRPr="007E53FB" w:rsidP="007E53FB">
      <w:pPr>
        <w:pStyle w:val="ListBullet"/>
      </w:pPr>
      <w:r w:rsidRPr="007E53FB">
        <w:t>types of stems and crowns</w:t>
      </w:r>
    </w:p>
    <w:p w:rsidR="00000000" w:rsidRPr="007E53FB" w:rsidP="007E53FB">
      <w:pPr>
        <w:pStyle w:val="ListBullet"/>
      </w:pPr>
      <w:r w:rsidRPr="007E53FB">
        <w:t xml:space="preserve">hand tools </w:t>
      </w:r>
    </w:p>
    <w:p w:rsidR="00000000" w:rsidRPr="007E53FB" w:rsidP="007E53FB">
      <w:pPr>
        <w:pStyle w:val="ListBullet"/>
      </w:pPr>
      <w:r w:rsidRPr="007E53FB">
        <w:t>stem position for removal</w:t>
      </w:r>
    </w:p>
    <w:p w:rsidR="00000000" w:rsidRPr="007E53FB" w:rsidP="007E53FB">
      <w:pPr>
        <w:pStyle w:val="ListBullet"/>
      </w:pPr>
      <w:r w:rsidRPr="007E53FB">
        <w:t xml:space="preserve">various watch case components </w:t>
      </w:r>
    </w:p>
    <w:p w:rsidR="00000000" w:rsidRPr="007E53FB" w:rsidP="007E53FB">
      <w:pPr>
        <w:pStyle w:val="ListBullet"/>
      </w:pPr>
      <w:r w:rsidRPr="007E53FB">
        <w:t xml:space="preserve">various types, styles and materials of dials and hands </w:t>
      </w:r>
    </w:p>
    <w:p w:rsidR="00000000" w:rsidRPr="007E53FB" w:rsidP="007E53FB">
      <w:pPr>
        <w:pStyle w:val="ListBullet"/>
      </w:pPr>
      <w:r w:rsidRPr="007E53FB">
        <w:t>various watch crown types, styles and materials.</w:t>
      </w:r>
    </w:p>
    <w:p w:rsidR="00000000" w:rsidRPr="007E53FB" w:rsidP="007E53FB">
      <w:pPr>
        <w:pStyle w:val="AllowPageBreak"/>
      </w:pPr>
    </w:p>
    <w:p w:rsidR="00000000" w:rsidRPr="007E53FB" w:rsidP="007E53FB">
      <w:pPr>
        <w:pStyle w:val="Heading1"/>
      </w:pPr>
      <w:bookmarkStart w:id="4" w:name="O_951138"/>
      <w:bookmarkEnd w:id="4"/>
      <w:r w:rsidRPr="007E53FB">
        <w:t>Assessment Conditions</w:t>
      </w:r>
    </w:p>
    <w:p w:rsidR="00000000" w:rsidRPr="007E53FB" w:rsidP="007E53FB">
      <w:pPr>
        <w:pStyle w:val="ListBullet"/>
      </w:pPr>
      <w:r w:rsidRPr="007E53FB">
        <w:t>Assessors must:</w:t>
      </w:r>
    </w:p>
    <w:p w:rsidR="00000000" w:rsidRPr="007E53FB" w:rsidP="007E53FB">
      <w:pPr>
        <w:pStyle w:val="ListBullet2"/>
      </w:pPr>
      <w:r w:rsidRPr="007E53FB">
        <w:t>have vocational competency in performing watch movement exchang</w:t>
      </w:r>
      <w:r w:rsidRPr="007E53FB">
        <w:t>e at least to the level being assessed with relevant industry knowledge and experience</w:t>
      </w:r>
    </w:p>
    <w:p w:rsidR="00000000" w:rsidRPr="007E53FB" w:rsidP="007E53FB">
      <w:pPr>
        <w:pStyle w:val="ListBullet2"/>
      </w:pPr>
      <w:r w:rsidRPr="007E53FB">
        <w:t xml:space="preserve">satisfy the assessor requirements in the </w:t>
      </w:r>
      <w:r w:rsidRPr="007E53FB">
        <w:rPr>
          <w:rStyle w:val="Emphasis"/>
        </w:rPr>
        <w:t xml:space="preserve">Standards for Registered Training Organisations 2015 </w:t>
      </w:r>
      <w:r w:rsidRPr="007E53FB">
        <w:t xml:space="preserve">or its replacement and comply with the </w:t>
      </w:r>
      <w:r w:rsidRPr="007E53FB">
        <w:rPr>
          <w:rStyle w:val="Emphasis"/>
        </w:rPr>
        <w:t>National Vocational Education and Tr</w:t>
      </w:r>
      <w:r w:rsidRPr="007E53FB">
        <w:rPr>
          <w:rStyle w:val="Emphasis"/>
        </w:rPr>
        <w:t xml:space="preserve">aining Regulator Act 2011, </w:t>
      </w:r>
      <w:r w:rsidRPr="007E53FB">
        <w:t>its replacement</w:t>
      </w:r>
      <w:r w:rsidRPr="007E53FB">
        <w:rPr>
          <w:rStyle w:val="Emphasis"/>
        </w:rPr>
        <w:t xml:space="preserve"> </w:t>
      </w:r>
      <w:r w:rsidRPr="007E53FB">
        <w:t>or equivalent legislation covering VET regulation in a non-referring state/territory as the case requires</w:t>
      </w:r>
    </w:p>
    <w:p w:rsidR="00000000" w:rsidRPr="007E53FB" w:rsidP="007E53FB">
      <w:pPr>
        <w:pStyle w:val="ListBullet"/>
      </w:pPr>
      <w:r w:rsidRPr="007E53FB">
        <w:t>Where possible assessment must occur in operational workplace situations. Where this is not possible or wh</w:t>
      </w:r>
      <w:r w:rsidRPr="007E53FB">
        <w:t>ere personal safety or environmental damage are limiting factors, assessment must occur in a sufficiently rigorous simulated environment that reflects realistic operational workplace conditions. This must cover all aspects of workplace performance, includi</w:t>
      </w:r>
      <w:r w:rsidRPr="007E53FB">
        <w:t>ng environment, task skills, task management skills, contingency management skills and job role environment skills</w:t>
      </w:r>
    </w:p>
    <w:p w:rsidR="00000000" w:rsidRPr="007E53FB" w:rsidP="007E53FB">
      <w:pPr>
        <w:pStyle w:val="ListBullet"/>
      </w:pPr>
      <w:r w:rsidRPr="007E53FB">
        <w:t>Conditions for assessment must include access to all tools, equipment, materials and documentation required, including relevant workplace pro</w:t>
      </w:r>
      <w:r w:rsidRPr="007E53FB">
        <w:t>cedures, product and manufacturing specifications</w:t>
      </w:r>
    </w:p>
    <w:p w:rsidR="00000000" w:rsidRPr="007E53FB" w:rsidP="007E53FB">
      <w:pPr>
        <w:pStyle w:val="ListBullet"/>
      </w:pPr>
      <w:r w:rsidRPr="007E53FB">
        <w:t>Assessment processes and techniques must be appropriate to the language, literacy and numeracy requirements of the work being performed and the needs of the candidate.</w:t>
      </w:r>
    </w:p>
    <w:p w:rsidR="00000000" w:rsidRPr="007E53FB" w:rsidP="007E53FB">
      <w:pPr>
        <w:pStyle w:val="AllowPageBreak"/>
      </w:pPr>
    </w:p>
    <w:p w:rsidR="00000000" w:rsidRPr="007E53FB" w:rsidP="007E53FB">
      <w:pPr>
        <w:pStyle w:val="Heading1"/>
      </w:pPr>
      <w:bookmarkStart w:id="5" w:name="O_951136"/>
      <w:bookmarkEnd w:id="5"/>
      <w:r w:rsidRPr="007E53FB">
        <w:t>Links</w:t>
      </w:r>
    </w:p>
    <w:p w:rsidR="00000000" w:rsidRPr="007E53FB" w:rsidP="00FA3BFA">
      <w:pPr>
        <w:pStyle w:val="BodyText"/>
      </w:pPr>
      <w:r w:rsidRPr="007E5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54D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E53FB" w:rsidP="007E53FB"/>
    <w:sectPr w:rsidSect="007E5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FB" w:rsidRPr="00FA3BFA" w:rsidP="00FA3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FA" w:rsidP="007E5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BFA" w:rsidP="007E5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3BFA" w:rsidP="007E5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3FB" w:rsidRPr="00FA3BFA" w:rsidP="00FA3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BFA" w:rsidRPr="002D2AF8" w:rsidP="007E5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MEM21002 Perform watch movement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3BFA" w:rsidP="007E5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42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2B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A3A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3FB"/>
  </w:style>
  <w:style w:type="character" w:customStyle="1" w:styleId="Heading1Char">
    <w:name w:val="Heading 1 Char"/>
    <w:basedOn w:val="DefaultParagraphFont"/>
    <w:link w:val="Heading1"/>
    <w:rsid w:val="007E5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3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53FB"/>
    <w:rPr>
      <w:i/>
    </w:rPr>
  </w:style>
  <w:style w:type="paragraph" w:customStyle="1" w:styleId="SuperHeading">
    <w:name w:val="SuperHeading"/>
    <w:basedOn w:val="Normal"/>
    <w:rsid w:val="007E5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3FB"/>
    <w:rPr>
      <w:b/>
      <w:spacing w:val="0"/>
    </w:rPr>
  </w:style>
  <w:style w:type="paragraph" w:customStyle="1" w:styleId="SuperTitle">
    <w:name w:val="SuperTitle"/>
    <w:basedOn w:val="Title"/>
    <w:rsid w:val="007E5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3FB"/>
  </w:style>
  <w:style w:type="paragraph" w:styleId="TableofFigures">
    <w:name w:val="table of figures"/>
    <w:basedOn w:val="Normal"/>
    <w:next w:val="Normal"/>
    <w:semiHidden/>
    <w:rsid w:val="007E5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3FB"/>
    <w:rPr>
      <w:rFonts w:ascii="Wingdings" w:hAnsi="Wingdings"/>
    </w:rPr>
  </w:style>
  <w:style w:type="paragraph" w:customStyle="1" w:styleId="TableHeading">
    <w:name w:val="Table Heading"/>
    <w:basedOn w:val="HeadingBase"/>
    <w:rsid w:val="007E5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3FB"/>
    <w:rPr>
      <w:color w:val="0033CC"/>
      <w:u w:val="none"/>
    </w:rPr>
  </w:style>
  <w:style w:type="paragraph" w:customStyle="1" w:styleId="BodyTextRight">
    <w:name w:val="Body Text Right"/>
    <w:basedOn w:val="BodyText"/>
    <w:rsid w:val="007E5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3FB"/>
    <w:rPr>
      <w:sz w:val="32"/>
    </w:rPr>
  </w:style>
  <w:style w:type="paragraph" w:customStyle="1" w:styleId="HeadingProcedure">
    <w:name w:val="Heading Procedure"/>
    <w:basedOn w:val="HeadingBase"/>
    <w:next w:val="Normal"/>
    <w:rsid w:val="007E5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3FB"/>
    <w:pPr>
      <w:spacing w:before="60" w:after="60"/>
    </w:pPr>
  </w:style>
  <w:style w:type="paragraph" w:styleId="ListContinue">
    <w:name w:val="List Continue"/>
    <w:basedOn w:val="List"/>
    <w:rsid w:val="007E53FB"/>
    <w:pPr>
      <w:ind w:firstLine="0"/>
    </w:pPr>
  </w:style>
  <w:style w:type="paragraph" w:customStyle="1" w:styleId="ListNote">
    <w:name w:val="List Note"/>
    <w:basedOn w:val="List"/>
    <w:rsid w:val="007E5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3FB"/>
    <w:rPr>
      <w:rFonts w:ascii="Courier New" w:hAnsi="Courier New"/>
    </w:rPr>
  </w:style>
  <w:style w:type="paragraph" w:customStyle="1" w:styleId="NoteBullet">
    <w:name w:val="Note Bullet"/>
    <w:basedOn w:val="Note"/>
    <w:rsid w:val="007E5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3FB"/>
    <w:rPr>
      <w:b/>
      <w:smallCaps/>
    </w:rPr>
  </w:style>
  <w:style w:type="paragraph" w:customStyle="1" w:styleId="TableListNumber">
    <w:name w:val="Table List Number"/>
    <w:basedOn w:val="ListNumber"/>
    <w:rsid w:val="007E5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3FB"/>
    <w:pPr>
      <w:numPr>
        <w:numId w:val="9"/>
      </w:numPr>
    </w:pPr>
  </w:style>
  <w:style w:type="paragraph" w:customStyle="1" w:styleId="ListAlpha2">
    <w:name w:val="List Alpha 2"/>
    <w:basedOn w:val="List2"/>
    <w:rsid w:val="007E53FB"/>
    <w:pPr>
      <w:numPr>
        <w:numId w:val="8"/>
      </w:numPr>
    </w:pPr>
  </w:style>
  <w:style w:type="paragraph" w:styleId="List2">
    <w:name w:val="List 2"/>
    <w:basedOn w:val="BodyText"/>
    <w:rsid w:val="007E5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3FB"/>
    <w:pPr>
      <w:numPr>
        <w:numId w:val="4"/>
      </w:numPr>
    </w:pPr>
  </w:style>
  <w:style w:type="paragraph" w:styleId="ListContinue2">
    <w:name w:val="List Continue 2"/>
    <w:basedOn w:val="List2"/>
    <w:rsid w:val="007E53FB"/>
    <w:pPr>
      <w:ind w:firstLine="0"/>
    </w:pPr>
  </w:style>
  <w:style w:type="paragraph" w:styleId="ListContinue3">
    <w:name w:val="List Continue 3"/>
    <w:basedOn w:val="List3"/>
    <w:rsid w:val="007E53FB"/>
    <w:pPr>
      <w:ind w:left="1021" w:firstLine="0"/>
    </w:pPr>
  </w:style>
  <w:style w:type="paragraph" w:styleId="ListContinue4">
    <w:name w:val="List Continue 4"/>
    <w:basedOn w:val="List4"/>
    <w:rsid w:val="007E53FB"/>
    <w:pPr>
      <w:ind w:firstLine="0"/>
    </w:pPr>
  </w:style>
  <w:style w:type="paragraph" w:styleId="ListContinue5">
    <w:name w:val="List Continue 5"/>
    <w:basedOn w:val="List5"/>
    <w:rsid w:val="007E53FB"/>
    <w:pPr>
      <w:ind w:firstLine="0"/>
    </w:pPr>
  </w:style>
  <w:style w:type="paragraph" w:styleId="ListNumber3">
    <w:name w:val="List Number 3"/>
    <w:basedOn w:val="List3"/>
    <w:rsid w:val="007E53FB"/>
    <w:pPr>
      <w:numPr>
        <w:numId w:val="5"/>
      </w:numPr>
    </w:pPr>
  </w:style>
  <w:style w:type="paragraph" w:styleId="ListNumber4">
    <w:name w:val="List Number 4"/>
    <w:basedOn w:val="List4"/>
    <w:rsid w:val="007E53FB"/>
    <w:pPr>
      <w:numPr>
        <w:numId w:val="6"/>
      </w:numPr>
    </w:pPr>
  </w:style>
  <w:style w:type="paragraph" w:styleId="ListNumber5">
    <w:name w:val="List Number 5"/>
    <w:basedOn w:val="List5"/>
    <w:rsid w:val="007E53FB"/>
    <w:pPr>
      <w:numPr>
        <w:numId w:val="7"/>
      </w:numPr>
    </w:pPr>
  </w:style>
  <w:style w:type="paragraph" w:styleId="BlockText">
    <w:name w:val="Block Text"/>
    <w:basedOn w:val="Normal"/>
    <w:rsid w:val="007E5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3FB"/>
    <w:rPr>
      <w:sz w:val="16"/>
      <w:vertAlign w:val="superscript"/>
    </w:rPr>
  </w:style>
  <w:style w:type="character" w:customStyle="1" w:styleId="Symbols">
    <w:name w:val="Symbols"/>
    <w:basedOn w:val="DefaultParagraphFont"/>
    <w:rsid w:val="007E53FB"/>
    <w:rPr>
      <w:rFonts w:ascii="Symbol" w:hAnsi="Symbol"/>
    </w:rPr>
  </w:style>
  <w:style w:type="character" w:customStyle="1" w:styleId="MenuOptions">
    <w:name w:val="Menu Options"/>
    <w:basedOn w:val="DefaultParagraphFont"/>
    <w:rsid w:val="007E5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3FB"/>
    <w:rPr>
      <w:b/>
    </w:rPr>
  </w:style>
  <w:style w:type="character" w:customStyle="1" w:styleId="Underlined">
    <w:name w:val="Underlined"/>
    <w:basedOn w:val="DefaultParagraphFont"/>
    <w:rsid w:val="007E53FB"/>
    <w:rPr>
      <w:u w:val="single"/>
    </w:rPr>
  </w:style>
  <w:style w:type="paragraph" w:customStyle="1" w:styleId="TableBodyTextRight">
    <w:name w:val="Table Body Text Right"/>
    <w:basedOn w:val="TableBodyText"/>
    <w:rsid w:val="007E5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3FB"/>
    <w:rPr>
      <w:sz w:val="18"/>
    </w:rPr>
  </w:style>
  <w:style w:type="paragraph" w:customStyle="1" w:styleId="BodySmallRight">
    <w:name w:val="Body Small Right"/>
    <w:basedOn w:val="BodyTextRight"/>
    <w:rsid w:val="007E53FB"/>
    <w:rPr>
      <w:sz w:val="18"/>
      <w:szCs w:val="18"/>
    </w:rPr>
  </w:style>
  <w:style w:type="paragraph" w:customStyle="1" w:styleId="MarginEdition">
    <w:name w:val="Margin Edition"/>
    <w:basedOn w:val="MarginNote"/>
    <w:rsid w:val="007E5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3FB"/>
    <w:rPr>
      <w:sz w:val="2"/>
      <w:szCs w:val="2"/>
    </w:rPr>
  </w:style>
  <w:style w:type="character" w:customStyle="1" w:styleId="Small">
    <w:name w:val="Small"/>
    <w:basedOn w:val="DefaultParagraphFont"/>
    <w:rsid w:val="007E53FB"/>
    <w:rPr>
      <w:sz w:val="16"/>
    </w:rPr>
  </w:style>
  <w:style w:type="paragraph" w:customStyle="1" w:styleId="WideTable">
    <w:name w:val="Wide Table"/>
    <w:basedOn w:val="Normal"/>
    <w:rsid w:val="007E5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3FB"/>
  </w:style>
  <w:style w:type="paragraph" w:styleId="Quote">
    <w:name w:val="Quote"/>
    <w:basedOn w:val="Heading1"/>
    <w:link w:val="QuoteChar"/>
    <w:qFormat/>
    <w:rsid w:val="007E5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3FB"/>
    <w:pPr>
      <w:pageBreakBefore/>
    </w:pPr>
  </w:style>
  <w:style w:type="paragraph" w:customStyle="1" w:styleId="Border">
    <w:name w:val="Border"/>
    <w:basedOn w:val="Normal"/>
    <w:qFormat/>
    <w:rsid w:val="007E5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3FB"/>
    <w:rPr>
      <w:u w:val="single"/>
    </w:rPr>
  </w:style>
  <w:style w:type="character" w:customStyle="1" w:styleId="BoldandItalics">
    <w:name w:val="Bold and Italics"/>
    <w:qFormat/>
    <w:rsid w:val="007E53FB"/>
    <w:rPr>
      <w:b/>
      <w:i/>
      <w:u w:val="none"/>
    </w:rPr>
  </w:style>
  <w:style w:type="paragraph" w:styleId="BalloonText">
    <w:name w:val="Balloon Text"/>
    <w:basedOn w:val="Normal"/>
    <w:link w:val="BalloonTextChar"/>
    <w:rsid w:val="007E5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3FB"/>
    <w:pPr>
      <w:spacing w:before="0" w:after="0"/>
    </w:pPr>
  </w:style>
  <w:style w:type="paragraph" w:customStyle="1" w:styleId="BodyTextBold">
    <w:name w:val="Body Text Bold"/>
    <w:basedOn w:val="BodyText"/>
    <w:qFormat/>
    <w:rsid w:val="007E53FB"/>
    <w:rPr>
      <w:b/>
    </w:rPr>
  </w:style>
  <w:style w:type="character" w:styleId="Hyperlink">
    <w:name w:val="Hyperlink"/>
    <w:basedOn w:val="DefaultParagraphFont"/>
    <w:uiPriority w:val="99"/>
    <w:unhideWhenUsed/>
    <w:rsid w:val="00FA3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3116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MEM21002 Perform watch movement exchange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