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1D1" w:rsidP="007F31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MEM21001 Replace watch batteries, capacitors and bands</w:t>
      </w:r>
      <w:r>
        <w:fldChar w:fldCharType="end"/>
      </w:r>
    </w:p>
    <w:p w:rsidR="007F31D1" w:rsidP="007F31D1">
      <w:pPr>
        <w:pStyle w:val="Version"/>
        <w:sectPr w:rsidSect="00137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5A4" w:rsidP="001375A4">
      <w:pPr>
        <w:pStyle w:val="SuperHeading"/>
      </w:pPr>
      <w:r w:rsidRPr="001375A4">
        <w:t>Assessment Requirements for MEM21001 Replace watch batteries, capacitors and bands</w:t>
      </w:r>
    </w:p>
    <w:p w:rsidR="00000000" w:rsidRPr="001375A4" w:rsidP="001375A4">
      <w:pPr>
        <w:pStyle w:val="Heading1"/>
      </w:pPr>
      <w:bookmarkStart w:id="1" w:name="O_951118"/>
      <w:bookmarkEnd w:id="1"/>
      <w:r w:rsidRPr="001375A4">
        <w:t>Modification History</w:t>
      </w:r>
    </w:p>
    <w:p w:rsidR="00000000" w:rsidRPr="001375A4" w:rsidP="007F31D1">
      <w:pPr>
        <w:pStyle w:val="BodyText"/>
      </w:pPr>
      <w:r w:rsidRPr="001375A4">
        <w:t xml:space="preserve">Release 1. Supersedes and is equivalent to MEM21001A Replace watch batteries, capacitors and bands </w:t>
      </w:r>
    </w:p>
    <w:p w:rsidR="00000000" w:rsidRPr="001375A4" w:rsidP="001375A4">
      <w:pPr>
        <w:pStyle w:val="Heading1"/>
      </w:pPr>
      <w:bookmarkStart w:id="2" w:name="O_951121"/>
      <w:bookmarkEnd w:id="2"/>
      <w:r w:rsidRPr="001375A4">
        <w:t>Performance Evidence</w:t>
      </w:r>
    </w:p>
    <w:p w:rsidR="00000000" w:rsidRPr="001375A4" w:rsidP="007F31D1">
      <w:pPr>
        <w:pStyle w:val="BodyText"/>
      </w:pPr>
      <w:r w:rsidRPr="001375A4">
        <w:t>Evidence required to demonstrate competence in this unit must be relevant to and satisfy the requirements of the elements and performance criteria on at least two (2) occasions and include:</w:t>
      </w:r>
    </w:p>
    <w:p w:rsidR="00000000" w:rsidRPr="001375A4" w:rsidP="001375A4">
      <w:pPr>
        <w:pStyle w:val="ListBullet"/>
      </w:pPr>
      <w:r w:rsidRPr="001375A4">
        <w:t>following work instructions, standard operat</w:t>
      </w:r>
      <w:r w:rsidRPr="001375A4">
        <w:t xml:space="preserve">ing procedures (SOPs) and safe work practices </w:t>
      </w:r>
    </w:p>
    <w:p w:rsidR="00000000" w:rsidRPr="001375A4" w:rsidP="001375A4">
      <w:pPr>
        <w:pStyle w:val="ListBullet"/>
      </w:pPr>
      <w:r w:rsidRPr="001375A4">
        <w:t>liaising with customer and carrying out pre-repair tests on watches, and recording and documenting repair process</w:t>
      </w:r>
    </w:p>
    <w:p w:rsidR="00000000" w:rsidRPr="001375A4" w:rsidP="001375A4">
      <w:pPr>
        <w:pStyle w:val="ListBullet"/>
      </w:pPr>
      <w:r w:rsidRPr="001375A4">
        <w:t>opening and closing watch cases using appropriate watch repairers’ tools and confirming watch m</w:t>
      </w:r>
      <w:r w:rsidRPr="001375A4">
        <w:t>ovement’s performance</w:t>
      </w:r>
    </w:p>
    <w:p w:rsidR="00000000" w:rsidRPr="001375A4" w:rsidP="001375A4">
      <w:pPr>
        <w:pStyle w:val="ListBullet"/>
      </w:pPr>
      <w:r w:rsidRPr="001375A4">
        <w:t xml:space="preserve">identifying, handling and storing power cells </w:t>
      </w:r>
    </w:p>
    <w:p w:rsidR="00000000" w:rsidRPr="001375A4" w:rsidP="001375A4">
      <w:pPr>
        <w:pStyle w:val="ListBullet"/>
      </w:pPr>
      <w:r w:rsidRPr="001375A4">
        <w:t>performing electrical testing using electrical test equipment and confirming results against manufacturers’ specifications</w:t>
      </w:r>
    </w:p>
    <w:p w:rsidR="00000000" w:rsidRPr="001375A4" w:rsidP="001375A4">
      <w:pPr>
        <w:pStyle w:val="ListBullet"/>
      </w:pPr>
      <w:r w:rsidRPr="001375A4">
        <w:t>removing bands and band attachments using appropriate methods, t</w:t>
      </w:r>
      <w:r w:rsidRPr="001375A4">
        <w:t>ools and equipment</w:t>
      </w:r>
    </w:p>
    <w:p w:rsidR="00000000" w:rsidRPr="001375A4" w:rsidP="001375A4">
      <w:pPr>
        <w:pStyle w:val="ListBullet"/>
      </w:pPr>
      <w:r w:rsidRPr="001375A4">
        <w:t xml:space="preserve">determining dimensions of band width </w:t>
      </w:r>
    </w:p>
    <w:p w:rsidR="00000000" w:rsidRPr="001375A4" w:rsidP="001375A4">
      <w:pPr>
        <w:pStyle w:val="ListBullet"/>
      </w:pPr>
      <w:r w:rsidRPr="001375A4">
        <w:t>applying water-resistance testing methods and verifying results</w:t>
      </w:r>
    </w:p>
    <w:p w:rsidR="00000000" w:rsidRPr="001375A4" w:rsidP="001375A4">
      <w:pPr>
        <w:pStyle w:val="ListBullet"/>
      </w:pPr>
      <w:r w:rsidRPr="001375A4">
        <w:t>recording and documenting repairs.</w:t>
      </w: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3" w:name="O_951120"/>
      <w:bookmarkEnd w:id="3"/>
      <w:r w:rsidRPr="001375A4">
        <w:t>Knowledge Evidence</w:t>
      </w:r>
    </w:p>
    <w:p w:rsidR="00000000" w:rsidRPr="001375A4" w:rsidP="007F31D1">
      <w:pPr>
        <w:pStyle w:val="BodyText"/>
      </w:pPr>
      <w:r w:rsidRPr="001375A4">
        <w:t>Evidence required to demonstrate the required knowledge for this</w:t>
      </w:r>
      <w:r w:rsidRPr="001375A4">
        <w:t xml:space="preserve"> unit must be relevant to and satisfy the requirements of the elements and performance criteria and include knowledge of:</w:t>
      </w:r>
    </w:p>
    <w:p w:rsidR="00000000" w:rsidRPr="001375A4" w:rsidP="001375A4">
      <w:pPr>
        <w:pStyle w:val="ListBullet"/>
      </w:pPr>
      <w:r w:rsidRPr="001375A4">
        <w:t>safe work practices and procedures and use of personal protective equipment (PPE)</w:t>
      </w:r>
    </w:p>
    <w:p w:rsidR="00000000" w:rsidRPr="001375A4" w:rsidP="001375A4">
      <w:pPr>
        <w:pStyle w:val="ListBullet"/>
      </w:pPr>
      <w:r w:rsidRPr="001375A4">
        <w:t>watch and band construction, components and materia</w:t>
      </w:r>
      <w:r w:rsidRPr="001375A4">
        <w:t>ls</w:t>
      </w:r>
    </w:p>
    <w:p w:rsidR="00000000" w:rsidRPr="001375A4" w:rsidP="001375A4">
      <w:pPr>
        <w:pStyle w:val="ListBullet"/>
      </w:pPr>
      <w:r w:rsidRPr="001375A4">
        <w:t>operating principles of power cells, batteries, capacitors and voltages (1.55v d.c. – 3v d.c.)</w:t>
      </w:r>
    </w:p>
    <w:p w:rsidR="00000000" w:rsidRPr="001375A4" w:rsidP="001375A4">
      <w:pPr>
        <w:pStyle w:val="ListBullet"/>
      </w:pPr>
      <w:r w:rsidRPr="001375A4">
        <w:t xml:space="preserve">methods of identifying watches requiring water-resistance or pressure testing </w:t>
      </w:r>
    </w:p>
    <w:p w:rsidR="00000000" w:rsidRPr="001375A4" w:rsidP="001375A4">
      <w:pPr>
        <w:pStyle w:val="ListBullet"/>
      </w:pPr>
      <w:r w:rsidRPr="001375A4">
        <w:t xml:space="preserve">how to confirm battery capacity </w:t>
      </w:r>
    </w:p>
    <w:p w:rsidR="00000000" w:rsidRPr="001375A4" w:rsidP="001375A4">
      <w:pPr>
        <w:pStyle w:val="ListBullet"/>
      </w:pPr>
      <w:r w:rsidRPr="001375A4">
        <w:t>handling, storage and disposal procedures for watch power sources</w:t>
      </w:r>
    </w:p>
    <w:p w:rsidR="00000000" w:rsidRPr="001375A4" w:rsidP="001375A4">
      <w:pPr>
        <w:pStyle w:val="ListBullet"/>
      </w:pPr>
      <w:r w:rsidRPr="001375A4">
        <w:t xml:space="preserve">removal procedures for watch glasses, gaskets and other components </w:t>
      </w:r>
    </w:p>
    <w:p w:rsidR="00000000" w:rsidRPr="001375A4" w:rsidP="001375A4">
      <w:pPr>
        <w:pStyle w:val="ListBullet"/>
      </w:pPr>
      <w:r w:rsidRPr="001375A4">
        <w:t>environmental guidelines and regulations relevant to the disposal of watch power sources</w:t>
      </w:r>
    </w:p>
    <w:p w:rsidR="00000000" w:rsidRPr="001375A4" w:rsidP="001375A4">
      <w:pPr>
        <w:pStyle w:val="ListBullet"/>
      </w:pPr>
      <w:r w:rsidRPr="001375A4">
        <w:t>multimeter types and how to set u</w:t>
      </w:r>
      <w:r w:rsidRPr="001375A4">
        <w:t>p, use and record values</w:t>
      </w:r>
    </w:p>
    <w:p w:rsidR="00000000" w:rsidRPr="001375A4" w:rsidP="001375A4">
      <w:pPr>
        <w:pStyle w:val="ListBullet"/>
      </w:pPr>
      <w:r w:rsidRPr="001375A4">
        <w:t>Australian Standards for water-resistant watches</w:t>
      </w:r>
    </w:p>
    <w:p w:rsidR="00000000" w:rsidRPr="001375A4" w:rsidP="001375A4">
      <w:pPr>
        <w:pStyle w:val="ListBullet"/>
      </w:pPr>
      <w:r w:rsidRPr="001375A4">
        <w:t xml:space="preserve">methods of identifying watches requiring water-resistance or pressure testing </w:t>
      </w:r>
    </w:p>
    <w:p w:rsidR="00000000" w:rsidRPr="001375A4" w:rsidP="001375A4">
      <w:pPr>
        <w:pStyle w:val="ListBullet"/>
      </w:pPr>
      <w:r w:rsidRPr="001375A4">
        <w:t>methods of water-resistance testing for watches and advantages and disadvantages of each method.</w:t>
      </w: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4" w:name="O_951119"/>
      <w:bookmarkEnd w:id="4"/>
      <w:r w:rsidRPr="001375A4">
        <w:t>Assessment Conditions</w:t>
      </w:r>
    </w:p>
    <w:p w:rsidR="00000000" w:rsidRPr="001375A4" w:rsidP="001375A4">
      <w:pPr>
        <w:pStyle w:val="ListBullet"/>
      </w:pPr>
      <w:r w:rsidRPr="001375A4">
        <w:t>Assessors must:</w:t>
      </w:r>
    </w:p>
    <w:p w:rsidR="00000000" w:rsidRPr="001375A4" w:rsidP="001375A4">
      <w:pPr>
        <w:pStyle w:val="ListBullet2"/>
      </w:pPr>
      <w:r w:rsidRPr="001375A4">
        <w:t>have vocational competency in replacing watch batteries, capacitors and bands at least to the level being assessed with relevant industry knowledge and experience</w:t>
      </w:r>
    </w:p>
    <w:p w:rsidR="00000000" w:rsidRPr="001375A4" w:rsidP="001375A4">
      <w:pPr>
        <w:pStyle w:val="ListBullet2"/>
      </w:pPr>
      <w:r w:rsidRPr="001375A4">
        <w:t xml:space="preserve">satisfy the assessor requirements in the </w:t>
      </w:r>
      <w:r w:rsidRPr="001375A4">
        <w:rPr>
          <w:rStyle w:val="Emphasis"/>
        </w:rPr>
        <w:t>S</w:t>
      </w:r>
      <w:r w:rsidRPr="001375A4">
        <w:rPr>
          <w:rStyle w:val="Emphasis"/>
        </w:rPr>
        <w:t xml:space="preserve">tandards for Registered Training Organisations 2015 </w:t>
      </w:r>
      <w:r w:rsidRPr="001375A4">
        <w:t>or its replacement</w:t>
      </w:r>
      <w:r w:rsidRPr="001375A4">
        <w:rPr>
          <w:rStyle w:val="Emphasis"/>
        </w:rPr>
        <w:t xml:space="preserve"> </w:t>
      </w:r>
      <w:r w:rsidRPr="001375A4">
        <w:t xml:space="preserve">and comply with the </w:t>
      </w:r>
      <w:r w:rsidRPr="001375A4">
        <w:rPr>
          <w:rStyle w:val="Emphasis"/>
        </w:rPr>
        <w:t xml:space="preserve">National Vocational Education and Training Regulator Act 2011, </w:t>
      </w:r>
      <w:r w:rsidRPr="001375A4">
        <w:t>its replacement</w:t>
      </w:r>
      <w:r w:rsidRPr="001375A4">
        <w:rPr>
          <w:rStyle w:val="Emphasis"/>
        </w:rPr>
        <w:t xml:space="preserve"> </w:t>
      </w:r>
      <w:r w:rsidRPr="001375A4">
        <w:t>or equivalent legislation covering VET regulation in a non-referring state/territory a</w:t>
      </w:r>
      <w:r w:rsidRPr="001375A4">
        <w:t>s the case requires</w:t>
      </w:r>
    </w:p>
    <w:p w:rsidR="00000000" w:rsidRPr="001375A4" w:rsidP="001375A4">
      <w:pPr>
        <w:pStyle w:val="ListBullet"/>
      </w:pPr>
      <w:r w:rsidRPr="001375A4">
        <w:t>Where possible assessment must occur in operational workplace situations. Where this is not possible or where personal safety or environmental damage are limiting factors, assessment must occur in a sufficiently rigorous simulated envi</w:t>
      </w:r>
      <w:r w:rsidRPr="001375A4">
        <w:t>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1375A4" w:rsidP="001375A4">
      <w:pPr>
        <w:pStyle w:val="ListBullet"/>
      </w:pPr>
      <w:r w:rsidRPr="001375A4">
        <w:t>Conditions for assessment must include access to all tools, equipment, materials and documentation required, including relevant workplace procedures, product and manufacturing specifications</w:t>
      </w:r>
    </w:p>
    <w:p w:rsidR="00000000" w:rsidRPr="001375A4" w:rsidP="001375A4">
      <w:pPr>
        <w:pStyle w:val="ListBullet"/>
      </w:pPr>
      <w:r w:rsidRPr="001375A4">
        <w:t>Assessment processes and techniques must be appropriate to the la</w:t>
      </w:r>
      <w:r w:rsidRPr="001375A4">
        <w:t>nguage, literacy and numeracy requirements of the work being performed and the needs of the candidate.</w:t>
      </w:r>
    </w:p>
    <w:p w:rsidR="00000000" w:rsidRPr="001375A4" w:rsidP="001375A4">
      <w:pPr>
        <w:pStyle w:val="AllowPageBreak"/>
      </w:pPr>
    </w:p>
    <w:p w:rsidR="00000000" w:rsidRPr="001375A4" w:rsidP="001375A4">
      <w:pPr>
        <w:pStyle w:val="Heading1"/>
      </w:pPr>
      <w:bookmarkStart w:id="5" w:name="O_951117"/>
      <w:bookmarkEnd w:id="5"/>
      <w:r w:rsidRPr="001375A4">
        <w:t>Links</w:t>
      </w:r>
    </w:p>
    <w:p w:rsidR="00000000" w:rsidRPr="001375A4" w:rsidP="007F31D1">
      <w:pPr>
        <w:pStyle w:val="BodyText"/>
      </w:pPr>
      <w:r w:rsidRPr="001375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757D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375A4" w:rsidP="001375A4"/>
    <w:sectPr w:rsidSect="001375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A4" w:rsidRPr="007F31D1" w:rsidP="007F31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1D1" w:rsidP="00137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31D1" w:rsidP="00137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31D1" w:rsidP="00137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1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5A4" w:rsidRPr="007F31D1" w:rsidP="007F31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1D1" w:rsidRPr="002D2AF8" w:rsidP="00137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MEM21001 Replace watch batteries, capacitors and bands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F31D1" w:rsidP="00137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7C17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143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D217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5A4"/>
  </w:style>
  <w:style w:type="character" w:customStyle="1" w:styleId="Heading1Char">
    <w:name w:val="Heading 1 Char"/>
    <w:basedOn w:val="DefaultParagraphFont"/>
    <w:link w:val="Heading1"/>
    <w:rsid w:val="00137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5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75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75A4"/>
    <w:rPr>
      <w:i/>
    </w:rPr>
  </w:style>
  <w:style w:type="paragraph" w:customStyle="1" w:styleId="SuperHeading">
    <w:name w:val="SuperHeading"/>
    <w:basedOn w:val="Normal"/>
    <w:rsid w:val="00137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75A4"/>
    <w:rPr>
      <w:b/>
      <w:spacing w:val="0"/>
    </w:rPr>
  </w:style>
  <w:style w:type="paragraph" w:customStyle="1" w:styleId="SuperTitle">
    <w:name w:val="SuperTitle"/>
    <w:basedOn w:val="Title"/>
    <w:rsid w:val="00137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7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5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7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5A4"/>
  </w:style>
  <w:style w:type="paragraph" w:styleId="TableofFigures">
    <w:name w:val="table of figures"/>
    <w:basedOn w:val="Normal"/>
    <w:next w:val="Normal"/>
    <w:semiHidden/>
    <w:rsid w:val="00137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5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75A4"/>
    <w:rPr>
      <w:rFonts w:ascii="Wingdings" w:hAnsi="Wingdings"/>
    </w:rPr>
  </w:style>
  <w:style w:type="paragraph" w:customStyle="1" w:styleId="TableHeading">
    <w:name w:val="Table Heading"/>
    <w:basedOn w:val="HeadingBase"/>
    <w:rsid w:val="00137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5A4"/>
    <w:rPr>
      <w:color w:val="0033CC"/>
      <w:u w:val="none"/>
    </w:rPr>
  </w:style>
  <w:style w:type="paragraph" w:customStyle="1" w:styleId="BodyTextRight">
    <w:name w:val="Body Text Right"/>
    <w:basedOn w:val="BodyText"/>
    <w:rsid w:val="00137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5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5A4"/>
    <w:rPr>
      <w:sz w:val="32"/>
    </w:rPr>
  </w:style>
  <w:style w:type="paragraph" w:customStyle="1" w:styleId="HeadingProcedure">
    <w:name w:val="Heading Procedure"/>
    <w:basedOn w:val="HeadingBase"/>
    <w:next w:val="Normal"/>
    <w:rsid w:val="00137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5A4"/>
    <w:pPr>
      <w:spacing w:before="60" w:after="60"/>
    </w:pPr>
  </w:style>
  <w:style w:type="paragraph" w:styleId="ListContinue">
    <w:name w:val="List Continue"/>
    <w:basedOn w:val="List"/>
    <w:rsid w:val="001375A4"/>
    <w:pPr>
      <w:ind w:firstLine="0"/>
    </w:pPr>
  </w:style>
  <w:style w:type="paragraph" w:customStyle="1" w:styleId="ListNote">
    <w:name w:val="List Note"/>
    <w:basedOn w:val="List"/>
    <w:rsid w:val="00137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5A4"/>
    <w:rPr>
      <w:rFonts w:ascii="Courier New" w:hAnsi="Courier New"/>
    </w:rPr>
  </w:style>
  <w:style w:type="paragraph" w:customStyle="1" w:styleId="NoteBullet">
    <w:name w:val="Note Bullet"/>
    <w:basedOn w:val="Note"/>
    <w:rsid w:val="00137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5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7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5A4"/>
    <w:rPr>
      <w:b/>
      <w:smallCaps/>
    </w:rPr>
  </w:style>
  <w:style w:type="paragraph" w:customStyle="1" w:styleId="TableListNumber">
    <w:name w:val="Table List Number"/>
    <w:basedOn w:val="ListNumber"/>
    <w:rsid w:val="00137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5A4"/>
    <w:pPr>
      <w:numPr>
        <w:numId w:val="9"/>
      </w:numPr>
    </w:pPr>
  </w:style>
  <w:style w:type="paragraph" w:customStyle="1" w:styleId="ListAlpha2">
    <w:name w:val="List Alpha 2"/>
    <w:basedOn w:val="List2"/>
    <w:rsid w:val="001375A4"/>
    <w:pPr>
      <w:numPr>
        <w:numId w:val="8"/>
      </w:numPr>
    </w:pPr>
  </w:style>
  <w:style w:type="paragraph" w:styleId="List2">
    <w:name w:val="List 2"/>
    <w:basedOn w:val="BodyText"/>
    <w:rsid w:val="00137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5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5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75A4"/>
    <w:pPr>
      <w:numPr>
        <w:numId w:val="4"/>
      </w:numPr>
    </w:pPr>
  </w:style>
  <w:style w:type="paragraph" w:styleId="ListContinue2">
    <w:name w:val="List Continue 2"/>
    <w:basedOn w:val="List2"/>
    <w:rsid w:val="001375A4"/>
    <w:pPr>
      <w:ind w:firstLine="0"/>
    </w:pPr>
  </w:style>
  <w:style w:type="paragraph" w:styleId="ListContinue3">
    <w:name w:val="List Continue 3"/>
    <w:basedOn w:val="List3"/>
    <w:rsid w:val="001375A4"/>
    <w:pPr>
      <w:ind w:left="1021" w:firstLine="0"/>
    </w:pPr>
  </w:style>
  <w:style w:type="paragraph" w:styleId="ListContinue4">
    <w:name w:val="List Continue 4"/>
    <w:basedOn w:val="List4"/>
    <w:rsid w:val="001375A4"/>
    <w:pPr>
      <w:ind w:firstLine="0"/>
    </w:pPr>
  </w:style>
  <w:style w:type="paragraph" w:styleId="ListContinue5">
    <w:name w:val="List Continue 5"/>
    <w:basedOn w:val="List5"/>
    <w:rsid w:val="001375A4"/>
    <w:pPr>
      <w:ind w:firstLine="0"/>
    </w:pPr>
  </w:style>
  <w:style w:type="paragraph" w:styleId="ListNumber3">
    <w:name w:val="List Number 3"/>
    <w:basedOn w:val="List3"/>
    <w:rsid w:val="001375A4"/>
    <w:pPr>
      <w:numPr>
        <w:numId w:val="5"/>
      </w:numPr>
    </w:pPr>
  </w:style>
  <w:style w:type="paragraph" w:styleId="ListNumber4">
    <w:name w:val="List Number 4"/>
    <w:basedOn w:val="List4"/>
    <w:rsid w:val="001375A4"/>
    <w:pPr>
      <w:numPr>
        <w:numId w:val="6"/>
      </w:numPr>
    </w:pPr>
  </w:style>
  <w:style w:type="paragraph" w:styleId="ListNumber5">
    <w:name w:val="List Number 5"/>
    <w:basedOn w:val="List5"/>
    <w:rsid w:val="001375A4"/>
    <w:pPr>
      <w:numPr>
        <w:numId w:val="7"/>
      </w:numPr>
    </w:pPr>
  </w:style>
  <w:style w:type="paragraph" w:styleId="BlockText">
    <w:name w:val="Block Text"/>
    <w:basedOn w:val="Normal"/>
    <w:rsid w:val="00137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5A4"/>
    <w:rPr>
      <w:sz w:val="16"/>
      <w:vertAlign w:val="superscript"/>
    </w:rPr>
  </w:style>
  <w:style w:type="character" w:customStyle="1" w:styleId="Symbols">
    <w:name w:val="Symbols"/>
    <w:basedOn w:val="DefaultParagraphFont"/>
    <w:rsid w:val="001375A4"/>
    <w:rPr>
      <w:rFonts w:ascii="Symbol" w:hAnsi="Symbol"/>
    </w:rPr>
  </w:style>
  <w:style w:type="character" w:customStyle="1" w:styleId="MenuOptions">
    <w:name w:val="Menu Options"/>
    <w:basedOn w:val="DefaultParagraphFont"/>
    <w:rsid w:val="00137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5A4"/>
    <w:rPr>
      <w:b/>
    </w:rPr>
  </w:style>
  <w:style w:type="character" w:customStyle="1" w:styleId="Underlined">
    <w:name w:val="Underlined"/>
    <w:basedOn w:val="DefaultParagraphFont"/>
    <w:rsid w:val="001375A4"/>
    <w:rPr>
      <w:u w:val="single"/>
    </w:rPr>
  </w:style>
  <w:style w:type="paragraph" w:customStyle="1" w:styleId="TableBodyTextRight">
    <w:name w:val="Table Body Text Right"/>
    <w:basedOn w:val="TableBodyText"/>
    <w:rsid w:val="00137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5A4"/>
    <w:rPr>
      <w:sz w:val="18"/>
    </w:rPr>
  </w:style>
  <w:style w:type="paragraph" w:customStyle="1" w:styleId="BodySmallRight">
    <w:name w:val="Body Small Right"/>
    <w:basedOn w:val="BodyTextRight"/>
    <w:rsid w:val="001375A4"/>
    <w:rPr>
      <w:sz w:val="18"/>
      <w:szCs w:val="18"/>
    </w:rPr>
  </w:style>
  <w:style w:type="paragraph" w:customStyle="1" w:styleId="MarginEdition">
    <w:name w:val="Margin Edition"/>
    <w:basedOn w:val="MarginNote"/>
    <w:rsid w:val="00137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5A4"/>
    <w:rPr>
      <w:sz w:val="2"/>
      <w:szCs w:val="2"/>
    </w:rPr>
  </w:style>
  <w:style w:type="character" w:customStyle="1" w:styleId="Small">
    <w:name w:val="Small"/>
    <w:basedOn w:val="DefaultParagraphFont"/>
    <w:rsid w:val="001375A4"/>
    <w:rPr>
      <w:sz w:val="16"/>
    </w:rPr>
  </w:style>
  <w:style w:type="paragraph" w:customStyle="1" w:styleId="WideTable">
    <w:name w:val="Wide Table"/>
    <w:basedOn w:val="Normal"/>
    <w:rsid w:val="00137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5A4"/>
  </w:style>
  <w:style w:type="paragraph" w:styleId="Quote">
    <w:name w:val="Quote"/>
    <w:basedOn w:val="Heading1"/>
    <w:link w:val="QuoteChar"/>
    <w:qFormat/>
    <w:rsid w:val="00137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5A4"/>
    <w:pPr>
      <w:pageBreakBefore/>
    </w:pPr>
  </w:style>
  <w:style w:type="paragraph" w:customStyle="1" w:styleId="Border">
    <w:name w:val="Border"/>
    <w:basedOn w:val="Normal"/>
    <w:qFormat/>
    <w:rsid w:val="00137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5A4"/>
    <w:rPr>
      <w:u w:val="single"/>
    </w:rPr>
  </w:style>
  <w:style w:type="character" w:customStyle="1" w:styleId="BoldandItalics">
    <w:name w:val="Bold and Italics"/>
    <w:qFormat/>
    <w:rsid w:val="001375A4"/>
    <w:rPr>
      <w:b/>
      <w:i/>
      <w:u w:val="none"/>
    </w:rPr>
  </w:style>
  <w:style w:type="paragraph" w:styleId="BalloonText">
    <w:name w:val="Balloon Text"/>
    <w:basedOn w:val="Normal"/>
    <w:link w:val="BalloonTextChar"/>
    <w:rsid w:val="00137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5A4"/>
    <w:pPr>
      <w:spacing w:before="0" w:after="0"/>
    </w:pPr>
  </w:style>
  <w:style w:type="paragraph" w:customStyle="1" w:styleId="BodyTextBold">
    <w:name w:val="Body Text Bold"/>
    <w:basedOn w:val="BodyText"/>
    <w:qFormat/>
    <w:rsid w:val="001375A4"/>
    <w:rPr>
      <w:b/>
    </w:rPr>
  </w:style>
  <w:style w:type="character" w:styleId="Hyperlink">
    <w:name w:val="Hyperlink"/>
    <w:basedOn w:val="DefaultParagraphFont"/>
    <w:uiPriority w:val="99"/>
    <w:unhideWhenUsed/>
    <w:rsid w:val="007F31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3444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MEM21001 Replace watch batteries, capacitors and bands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2023-02-03T06:47:00Z</dcterms:created>
  <dcterms:modified xsi:type="dcterms:W3CDTF">2023-02-03T06:47:00Z</dcterms:modified>
</cp:coreProperties>
</file>