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677" w:rsidP="001436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MEM20031 Gain entry and reinstate automotive locking systems</w:t>
      </w:r>
      <w:r>
        <w:fldChar w:fldCharType="end"/>
      </w:r>
    </w:p>
    <w:p w:rsidR="00143677" w:rsidP="00143677">
      <w:pPr>
        <w:pStyle w:val="Version"/>
        <w:sectPr w:rsidSect="001769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94C" w:rsidP="0017694C">
      <w:pPr>
        <w:pStyle w:val="SuperHeading"/>
      </w:pPr>
      <w:r w:rsidRPr="0017694C">
        <w:t>Assessment Requirements for MEM20031 Gain entry and reinstate automotive locking systems</w:t>
      </w:r>
    </w:p>
    <w:p w:rsidR="00000000" w:rsidRPr="0017694C" w:rsidP="0017694C">
      <w:pPr>
        <w:pStyle w:val="Heading1"/>
      </w:pPr>
      <w:bookmarkStart w:id="1" w:name="O_1269918"/>
      <w:bookmarkEnd w:id="1"/>
      <w:r w:rsidRPr="0017694C">
        <w:t>Modification History</w:t>
      </w:r>
    </w:p>
    <w:p w:rsidR="00143677" w:rsidP="00143677">
      <w:pPr>
        <w:pStyle w:val="BodyText"/>
      </w:pPr>
      <w:r w:rsidRPr="0017694C">
        <w:t>Release 1. Supersedes and is equivalent to MEM20010 Gain entry and reinstate automotive locking systems.</w:t>
      </w:r>
    </w:p>
    <w:p w:rsidR="00000000" w:rsidRPr="0017694C" w:rsidP="0017694C">
      <w:pPr>
        <w:pStyle w:val="Heading1"/>
      </w:pPr>
      <w:bookmarkStart w:id="2" w:name="O_1269919"/>
      <w:bookmarkEnd w:id="2"/>
      <w:r w:rsidRPr="0017694C">
        <w:t>Performance Evidence</w:t>
      </w:r>
    </w:p>
    <w:p w:rsidR="00000000" w:rsidRPr="0017694C" w:rsidP="00143677">
      <w:pPr>
        <w:pStyle w:val="BodyText"/>
      </w:pPr>
      <w:r w:rsidRPr="0017694C">
        <w:t>Evidence required to demonstrate competence in this unit must be relevant to and satisfy the requirements of the elements and performance criteria and include:</w:t>
      </w:r>
    </w:p>
    <w:p w:rsidR="00000000" w:rsidRPr="0017694C" w:rsidP="0017694C">
      <w:pPr>
        <w:pStyle w:val="ListBullet"/>
      </w:pPr>
      <w:r w:rsidRPr="0017694C">
        <w:t>following work instructions, standard operating procedures (SOPs) and safe</w:t>
      </w:r>
      <w:r w:rsidRPr="0017694C">
        <w:t xml:space="preserve"> work practices</w:t>
      </w:r>
    </w:p>
    <w:p w:rsidR="00000000" w:rsidRPr="0017694C" w:rsidP="0017694C">
      <w:pPr>
        <w:pStyle w:val="ListBullet"/>
      </w:pPr>
      <w:r w:rsidRPr="0017694C">
        <w:t>verifying authenticity of request in accordance with organisational and industry procedures</w:t>
      </w:r>
    </w:p>
    <w:p w:rsidR="00000000" w:rsidRPr="0017694C" w:rsidP="0017694C">
      <w:pPr>
        <w:pStyle w:val="ListBullet"/>
      </w:pPr>
      <w:r w:rsidRPr="0017694C">
        <w:t>communicating with the customer throughout the entry and reinstatement process</w:t>
      </w:r>
    </w:p>
    <w:p w:rsidR="00000000" w:rsidRPr="0017694C" w:rsidP="0017694C">
      <w:pPr>
        <w:pStyle w:val="ListBullet"/>
      </w:pPr>
      <w:r w:rsidRPr="0017694C">
        <w:t>legislation, codes, regulations and standards applicable to gaining e</w:t>
      </w:r>
      <w:r w:rsidRPr="0017694C">
        <w:t>ntry to vehicles</w:t>
      </w:r>
    </w:p>
    <w:p w:rsidR="00000000" w:rsidRPr="0017694C" w:rsidP="0017694C">
      <w:pPr>
        <w:pStyle w:val="ListBullet"/>
      </w:pPr>
      <w:r w:rsidRPr="0017694C">
        <w:t>interpreting information specific for gaining entry</w:t>
      </w:r>
    </w:p>
    <w:p w:rsidR="00000000" w:rsidRPr="0017694C" w:rsidP="0017694C">
      <w:pPr>
        <w:pStyle w:val="ListBullet"/>
      </w:pPr>
      <w:r w:rsidRPr="0017694C">
        <w:t>questioning, confirming and clarifying customer requirements</w:t>
      </w:r>
    </w:p>
    <w:p w:rsidR="00000000" w:rsidRPr="0017694C" w:rsidP="0017694C">
      <w:pPr>
        <w:pStyle w:val="ListBullet"/>
      </w:pPr>
      <w:r w:rsidRPr="0017694C">
        <w:t>identifying automotive locking components and checking function of locking systems</w:t>
      </w:r>
    </w:p>
    <w:p w:rsidR="00000000" w:rsidRPr="0017694C" w:rsidP="0017694C">
      <w:pPr>
        <w:pStyle w:val="ListBullet"/>
      </w:pPr>
      <w:r w:rsidRPr="0017694C">
        <w:t>tracing faults and selecting the appropriat</w:t>
      </w:r>
      <w:r w:rsidRPr="0017694C">
        <w:t>e entry method on at least two occasions</w:t>
      </w:r>
    </w:p>
    <w:p w:rsidR="00000000" w:rsidRPr="0017694C" w:rsidP="0017694C">
      <w:pPr>
        <w:pStyle w:val="ListBullet"/>
      </w:pPr>
      <w:r w:rsidRPr="0017694C">
        <w:t>gaining entry using appropriate tools and equipment on at least two occasions</w:t>
      </w:r>
    </w:p>
    <w:p w:rsidR="00000000" w:rsidRPr="0017694C" w:rsidP="0017694C">
      <w:pPr>
        <w:pStyle w:val="ListBullet"/>
      </w:pPr>
      <w:r w:rsidRPr="0017694C">
        <w:t>identifying actual and potential risks and hazards and implementing control measures</w:t>
      </w:r>
    </w:p>
    <w:p w:rsidR="00000000" w:rsidRPr="0017694C" w:rsidP="0017694C">
      <w:pPr>
        <w:pStyle w:val="ListBullet"/>
      </w:pPr>
      <w:r w:rsidRPr="0017694C">
        <w:t>disassembling and reassembling lock assemblies and c</w:t>
      </w:r>
      <w:r w:rsidRPr="0017694C">
        <w:t>omponents and selecting materials and consumables</w:t>
      </w:r>
    </w:p>
    <w:p w:rsidR="00000000" w:rsidRPr="0017694C" w:rsidP="0017694C">
      <w:pPr>
        <w:pStyle w:val="ListBullet"/>
      </w:pPr>
      <w:r w:rsidRPr="0017694C">
        <w:t>applying appropriate techniques to reinstate locking components and system</w:t>
      </w:r>
    </w:p>
    <w:p w:rsidR="00000000" w:rsidRPr="0017694C" w:rsidP="0017694C">
      <w:pPr>
        <w:pStyle w:val="ListBullet"/>
      </w:pPr>
      <w:r w:rsidRPr="0017694C">
        <w:t>testing and adjusting locking system to confirm operation</w:t>
      </w:r>
    </w:p>
    <w:p w:rsidR="00000000" w:rsidRPr="0017694C" w:rsidP="0017694C">
      <w:pPr>
        <w:pStyle w:val="ListBullet"/>
      </w:pPr>
      <w:r w:rsidRPr="0017694C">
        <w:t>cleaning vehicle in accordance with original presentation, client require</w:t>
      </w:r>
      <w:r w:rsidRPr="0017694C">
        <w:t>ments, industry standards and SOPs</w:t>
      </w:r>
    </w:p>
    <w:p w:rsidR="00000000" w:rsidRPr="0017694C" w:rsidP="0017694C">
      <w:pPr>
        <w:pStyle w:val="ListBullet"/>
      </w:pPr>
      <w:r w:rsidRPr="0017694C">
        <w:t>completing all documentation in accordance with SOPs.</w:t>
      </w:r>
    </w:p>
    <w:p w:rsidR="00143677" w:rsidRPr="00143677" w:rsidP="00143677">
      <w:pPr>
        <w:pStyle w:val="BodyText"/>
        <w:rPr>
          <w:i/>
        </w:rPr>
      </w:pPr>
      <w:r w:rsidRPr="00143677">
        <w:rPr>
          <w:rStyle w:val="Emphasis"/>
        </w:rPr>
        <w:t>Note: Where a volume and/or frequency is not specified, demonstration must be provided at least once.</w:t>
      </w:r>
    </w:p>
    <w:p w:rsidR="00000000" w:rsidRPr="0017694C" w:rsidP="0017694C">
      <w:pPr>
        <w:pStyle w:val="Heading1"/>
      </w:pPr>
      <w:bookmarkStart w:id="3" w:name="O_1269920"/>
      <w:bookmarkEnd w:id="3"/>
      <w:r w:rsidRPr="0017694C">
        <w:t>Knowledge Evidence</w:t>
      </w:r>
    </w:p>
    <w:p w:rsidR="00000000" w:rsidRPr="0017694C" w:rsidP="00143677">
      <w:pPr>
        <w:pStyle w:val="BodyText"/>
      </w:pPr>
      <w:r w:rsidRPr="0017694C">
        <w:t>Evidence required to demonstrate the required knowledge for this unit must be relevant to and satisfy the requirements of the elements and performance criteria and include knowledge of:</w:t>
      </w:r>
    </w:p>
    <w:p w:rsidR="00000000" w:rsidRPr="0017694C" w:rsidP="0017694C">
      <w:pPr>
        <w:pStyle w:val="ListBullet"/>
      </w:pPr>
      <w:r w:rsidRPr="0017694C">
        <w:t>safe work practices and procedures and use of personal protective equ</w:t>
      </w:r>
      <w:r w:rsidRPr="0017694C">
        <w:t>ipment (PPE)</w:t>
      </w:r>
    </w:p>
    <w:p w:rsidR="00000000" w:rsidRPr="0017694C" w:rsidP="0017694C">
      <w:pPr>
        <w:pStyle w:val="ListBullet"/>
      </w:pPr>
      <w:r w:rsidRPr="0017694C">
        <w:t xml:space="preserve">legislation, codes, regulations and standards applicable to gaining entry and reinstatement of automotive locking systems </w:t>
      </w:r>
    </w:p>
    <w:p w:rsidR="00000000" w:rsidRPr="0017694C" w:rsidP="0017694C">
      <w:pPr>
        <w:pStyle w:val="ListBullet"/>
      </w:pPr>
      <w:r w:rsidRPr="0017694C">
        <w:t>sources of specifications and other relevant information for automotive locking systems</w:t>
      </w:r>
    </w:p>
    <w:p w:rsidR="00000000" w:rsidRPr="0017694C" w:rsidP="0017694C">
      <w:pPr>
        <w:pStyle w:val="ListBullet"/>
      </w:pPr>
      <w:r w:rsidRPr="0017694C">
        <w:t>types of vehicle locking systems</w:t>
      </w:r>
      <w:r w:rsidRPr="0017694C">
        <w:t>, mechanical and electronic, and entry methods</w:t>
      </w:r>
    </w:p>
    <w:p w:rsidR="00000000" w:rsidRPr="0017694C" w:rsidP="0017694C">
      <w:pPr>
        <w:pStyle w:val="ListBullet"/>
      </w:pPr>
      <w:r w:rsidRPr="0017694C">
        <w:t>tools and equipment required for gaining entry and reinstating automotive locking systems</w:t>
      </w:r>
    </w:p>
    <w:p w:rsidR="00000000" w:rsidRPr="0017694C" w:rsidP="0017694C">
      <w:pPr>
        <w:pStyle w:val="ListBullet"/>
      </w:pPr>
      <w:r w:rsidRPr="0017694C">
        <w:t>attachment methods for window winders, internal handles, snibs, trims, cylinders, locks and external handles</w:t>
      </w:r>
    </w:p>
    <w:p w:rsidR="00000000" w:rsidRPr="0017694C" w:rsidP="0017694C">
      <w:pPr>
        <w:pStyle w:val="ListBullet"/>
      </w:pPr>
      <w:r w:rsidRPr="0017694C">
        <w:t>release po</w:t>
      </w:r>
      <w:r w:rsidRPr="0017694C">
        <w:t>sitions of ignition lock, air bag, front and side, and appropriate safety procedures</w:t>
      </w:r>
    </w:p>
    <w:p w:rsidR="00000000" w:rsidRPr="0017694C" w:rsidP="0017694C">
      <w:pPr>
        <w:pStyle w:val="ListBullet"/>
      </w:pPr>
      <w:r w:rsidRPr="0017694C">
        <w:t>break-off bolts removal and replacement</w:t>
      </w:r>
    </w:p>
    <w:p w:rsidR="00000000" w:rsidRPr="0017694C" w:rsidP="0017694C">
      <w:pPr>
        <w:pStyle w:val="ListBullet"/>
      </w:pPr>
      <w:r w:rsidRPr="0017694C">
        <w:t>window winders and door trims</w:t>
      </w:r>
    </w:p>
    <w:p w:rsidR="00000000" w:rsidRPr="0017694C" w:rsidP="0017694C">
      <w:pPr>
        <w:pStyle w:val="ListBullet"/>
      </w:pPr>
      <w:r w:rsidRPr="0017694C">
        <w:t>door lock retainers</w:t>
      </w:r>
    </w:p>
    <w:p w:rsidR="00000000" w:rsidRPr="0017694C" w:rsidP="0017694C">
      <w:pPr>
        <w:pStyle w:val="ListBullet"/>
      </w:pPr>
      <w:r w:rsidRPr="0017694C">
        <w:t>central locking</w:t>
      </w:r>
    </w:p>
    <w:p w:rsidR="00000000" w:rsidRPr="0017694C" w:rsidP="0017694C">
      <w:pPr>
        <w:pStyle w:val="ListBullet"/>
      </w:pPr>
      <w:r w:rsidRPr="0017694C">
        <w:t>linkages, cables and springs</w:t>
      </w:r>
    </w:p>
    <w:p w:rsidR="00000000" w:rsidRPr="0017694C" w:rsidP="0017694C">
      <w:pPr>
        <w:pStyle w:val="ListBullet"/>
      </w:pPr>
      <w:r w:rsidRPr="0017694C">
        <w:t>techniques for disassembling, reasse</w:t>
      </w:r>
      <w:r w:rsidRPr="0017694C">
        <w:t>mbling and reinstating locking systems to return to operation</w:t>
      </w:r>
    </w:p>
    <w:p w:rsidR="00000000" w:rsidRPr="0017694C" w:rsidP="0017694C">
      <w:pPr>
        <w:pStyle w:val="ListBullet"/>
      </w:pPr>
      <w:r w:rsidRPr="0017694C">
        <w:t>techniques for disassembling, reassembling and reinstating locking window winders and door trims including associated wiring</w:t>
      </w:r>
    </w:p>
    <w:p w:rsidR="00000000" w:rsidRPr="0017694C" w:rsidP="0017694C">
      <w:pPr>
        <w:pStyle w:val="ListBullet"/>
      </w:pPr>
      <w:r w:rsidRPr="0017694C">
        <w:t>automotive security electronics, alarms and ignition immobilisers</w:t>
      </w:r>
    </w:p>
    <w:p w:rsidR="00000000" w:rsidRPr="0017694C" w:rsidP="0017694C">
      <w:pPr>
        <w:pStyle w:val="ListBullet"/>
      </w:pPr>
      <w:r w:rsidRPr="0017694C">
        <w:t>haz</w:t>
      </w:r>
      <w:r w:rsidRPr="0017694C">
        <w:t>ards and control measures associated with gaining entry to automotive locking systems</w:t>
      </w:r>
    </w:p>
    <w:p w:rsidR="00143677" w:rsidP="0017694C">
      <w:pPr>
        <w:pStyle w:val="ListBullet"/>
      </w:pPr>
      <w:r w:rsidRPr="0017694C">
        <w:t>documentation and recording procedures.</w:t>
      </w:r>
    </w:p>
    <w:p w:rsidR="00143677" w:rsidP="0017694C">
      <w:pPr>
        <w:pStyle w:val="ListBullet"/>
      </w:pPr>
    </w:p>
    <w:p w:rsidR="00000000" w:rsidRPr="0017694C" w:rsidP="0017694C">
      <w:pPr>
        <w:pStyle w:val="Heading1"/>
      </w:pPr>
      <w:bookmarkStart w:id="4" w:name="O_1269921"/>
      <w:bookmarkEnd w:id="4"/>
      <w:r w:rsidRPr="0017694C">
        <w:t>Assessment Conditions</w:t>
      </w:r>
    </w:p>
    <w:p w:rsidR="00000000" w:rsidRPr="0017694C" w:rsidP="0017694C">
      <w:pPr>
        <w:pStyle w:val="ListBullet"/>
      </w:pPr>
      <w:r w:rsidRPr="0017694C">
        <w:t>Assessors must:</w:t>
      </w:r>
    </w:p>
    <w:p w:rsidR="00000000" w:rsidRPr="0017694C" w:rsidP="0017694C">
      <w:pPr>
        <w:pStyle w:val="ListBullet2"/>
      </w:pPr>
      <w:r w:rsidRPr="0017694C">
        <w:t>have vocational competency in gaining entry and reinstating automotive locking systems at least to the level being assessed with relevant industry knowledge and experience</w:t>
      </w:r>
    </w:p>
    <w:p w:rsidR="00000000" w:rsidRPr="0017694C" w:rsidP="0017694C">
      <w:pPr>
        <w:pStyle w:val="ListBullet2"/>
      </w:pPr>
      <w:r w:rsidRPr="0017694C">
        <w:t>satisfy the assessor requirements in the Standards for Registered Training Organisat</w:t>
      </w:r>
      <w:r w:rsidRPr="0017694C">
        <w:t>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17694C" w:rsidP="0017694C">
      <w:pPr>
        <w:pStyle w:val="ListBullet"/>
      </w:pPr>
      <w:r w:rsidRPr="0017694C">
        <w:t>Where possible, asse</w:t>
      </w:r>
      <w:r w:rsidRPr="0017694C">
        <w:t>ssment must occur in operational workplace situations. Where this is not possible or where personal safety or environmental damage are limiting factors, assessment must occur in a sufficiently rigorous simulated environment that reflects realistic operatio</w:t>
      </w:r>
      <w:r w:rsidRPr="0017694C">
        <w:t>nal workplace conditions. This must cover all aspects of workplace performance, including environment, task skills, task management skills, contingency management skills and job role environment skills.</w:t>
      </w:r>
    </w:p>
    <w:p w:rsidR="00000000" w:rsidRPr="0017694C" w:rsidP="0017694C">
      <w:pPr>
        <w:pStyle w:val="ListBullet"/>
      </w:pPr>
      <w:r w:rsidRPr="0017694C">
        <w:t xml:space="preserve">Conditions for assessment must include access to all </w:t>
      </w:r>
      <w:r w:rsidRPr="0017694C">
        <w:t>tools, equipment, materials and documentation required, including relevant workplace procedures, product and manufacturing specifications.</w:t>
      </w:r>
    </w:p>
    <w:p w:rsidR="00143677" w:rsidP="0017694C">
      <w:pPr>
        <w:pStyle w:val="ListBullet"/>
      </w:pPr>
      <w:r w:rsidRPr="0017694C">
        <w:t>Assessment processes and techniques must be appropriate to the language, literacy and numeracy requirements of the wo</w:t>
      </w:r>
      <w:r w:rsidRPr="0017694C">
        <w:t>rk being performed and the needs of the candidate.</w:t>
      </w:r>
    </w:p>
    <w:p w:rsidR="00143677" w:rsidP="0017694C">
      <w:pPr>
        <w:pStyle w:val="ListBullet"/>
      </w:pPr>
    </w:p>
    <w:p w:rsidR="00000000" w:rsidRPr="0017694C" w:rsidP="0017694C">
      <w:pPr>
        <w:pStyle w:val="Heading1"/>
      </w:pPr>
      <w:bookmarkStart w:id="5" w:name="O_1269924"/>
      <w:bookmarkEnd w:id="5"/>
      <w:r w:rsidRPr="0017694C">
        <w:t>Links</w:t>
      </w:r>
    </w:p>
    <w:p w:rsidR="00000000" w:rsidRPr="0017694C" w:rsidP="00143677">
      <w:pPr>
        <w:pStyle w:val="BodyText"/>
      </w:pPr>
      <w:r w:rsidRPr="001769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54CD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7694C" w:rsidP="0017694C"/>
    <w:sectPr w:rsidSect="001769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4C" w:rsidRPr="00143677" w:rsidP="001436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77" w:rsidP="001769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3677" w:rsidP="001769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3677" w:rsidP="001769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94C" w:rsidRPr="00143677" w:rsidP="001436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677" w:rsidRPr="002D2AF8" w:rsidP="001769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MEM20031 Gain entry and reinstate automotive 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43677" w:rsidP="001769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146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FE7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08A8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9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9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9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9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9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9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9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9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9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9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9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94C"/>
  </w:style>
  <w:style w:type="character" w:customStyle="1" w:styleId="Heading1Char">
    <w:name w:val="Heading 1 Char"/>
    <w:basedOn w:val="DefaultParagraphFont"/>
    <w:link w:val="Heading1"/>
    <w:rsid w:val="001769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9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9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9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69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694C"/>
    <w:rPr>
      <w:i/>
    </w:rPr>
  </w:style>
  <w:style w:type="paragraph" w:customStyle="1" w:styleId="SuperHeading">
    <w:name w:val="SuperHeading"/>
    <w:basedOn w:val="Normal"/>
    <w:rsid w:val="001769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9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9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9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9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9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9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9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9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9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9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9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9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9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9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9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9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9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694C"/>
    <w:rPr>
      <w:b/>
      <w:spacing w:val="0"/>
    </w:rPr>
  </w:style>
  <w:style w:type="paragraph" w:customStyle="1" w:styleId="SuperTitle">
    <w:name w:val="SuperTitle"/>
    <w:basedOn w:val="Title"/>
    <w:rsid w:val="001769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9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9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69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9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9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9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9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9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9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9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9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69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9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9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94C"/>
  </w:style>
  <w:style w:type="paragraph" w:styleId="TableofFigures">
    <w:name w:val="table of figures"/>
    <w:basedOn w:val="Normal"/>
    <w:next w:val="Normal"/>
    <w:semiHidden/>
    <w:rsid w:val="001769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9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694C"/>
    <w:rPr>
      <w:rFonts w:ascii="Wingdings" w:hAnsi="Wingdings"/>
    </w:rPr>
  </w:style>
  <w:style w:type="paragraph" w:customStyle="1" w:styleId="TableHeading">
    <w:name w:val="Table Heading"/>
    <w:basedOn w:val="HeadingBase"/>
    <w:rsid w:val="001769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94C"/>
    <w:rPr>
      <w:color w:val="0033CC"/>
      <w:u w:val="none"/>
    </w:rPr>
  </w:style>
  <w:style w:type="paragraph" w:customStyle="1" w:styleId="BodyTextRight">
    <w:name w:val="Body Text Right"/>
    <w:basedOn w:val="BodyText"/>
    <w:rsid w:val="001769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9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9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9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9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9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94C"/>
    <w:rPr>
      <w:sz w:val="32"/>
    </w:rPr>
  </w:style>
  <w:style w:type="paragraph" w:customStyle="1" w:styleId="HeadingProcedure">
    <w:name w:val="Heading Procedure"/>
    <w:basedOn w:val="HeadingBase"/>
    <w:next w:val="Normal"/>
    <w:rsid w:val="001769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94C"/>
    <w:pPr>
      <w:spacing w:before="60" w:after="60"/>
    </w:pPr>
  </w:style>
  <w:style w:type="paragraph" w:styleId="ListContinue">
    <w:name w:val="List Continue"/>
    <w:basedOn w:val="List"/>
    <w:rsid w:val="0017694C"/>
    <w:pPr>
      <w:ind w:firstLine="0"/>
    </w:pPr>
  </w:style>
  <w:style w:type="paragraph" w:customStyle="1" w:styleId="ListNote">
    <w:name w:val="List Note"/>
    <w:basedOn w:val="List"/>
    <w:rsid w:val="001769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9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9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94C"/>
    <w:rPr>
      <w:rFonts w:ascii="Courier New" w:hAnsi="Courier New"/>
    </w:rPr>
  </w:style>
  <w:style w:type="paragraph" w:customStyle="1" w:styleId="NoteBullet">
    <w:name w:val="Note Bullet"/>
    <w:basedOn w:val="Note"/>
    <w:rsid w:val="001769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9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9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9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9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69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9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94C"/>
    <w:rPr>
      <w:b/>
      <w:smallCaps/>
    </w:rPr>
  </w:style>
  <w:style w:type="paragraph" w:customStyle="1" w:styleId="TableListNumber">
    <w:name w:val="Table List Number"/>
    <w:basedOn w:val="ListNumber"/>
    <w:rsid w:val="001769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9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94C"/>
    <w:pPr>
      <w:numPr>
        <w:numId w:val="9"/>
      </w:numPr>
    </w:pPr>
  </w:style>
  <w:style w:type="paragraph" w:customStyle="1" w:styleId="ListAlpha2">
    <w:name w:val="List Alpha 2"/>
    <w:basedOn w:val="List2"/>
    <w:rsid w:val="0017694C"/>
    <w:pPr>
      <w:numPr>
        <w:numId w:val="8"/>
      </w:numPr>
    </w:pPr>
  </w:style>
  <w:style w:type="paragraph" w:styleId="List2">
    <w:name w:val="List 2"/>
    <w:basedOn w:val="BodyText"/>
    <w:rsid w:val="001769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9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9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9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9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9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694C"/>
    <w:pPr>
      <w:numPr>
        <w:numId w:val="4"/>
      </w:numPr>
    </w:pPr>
  </w:style>
  <w:style w:type="paragraph" w:styleId="ListContinue2">
    <w:name w:val="List Continue 2"/>
    <w:basedOn w:val="List2"/>
    <w:rsid w:val="0017694C"/>
    <w:pPr>
      <w:ind w:firstLine="0"/>
    </w:pPr>
  </w:style>
  <w:style w:type="paragraph" w:styleId="ListContinue3">
    <w:name w:val="List Continue 3"/>
    <w:basedOn w:val="List3"/>
    <w:rsid w:val="0017694C"/>
    <w:pPr>
      <w:ind w:left="1021" w:firstLine="0"/>
    </w:pPr>
  </w:style>
  <w:style w:type="paragraph" w:styleId="ListContinue4">
    <w:name w:val="List Continue 4"/>
    <w:basedOn w:val="List4"/>
    <w:rsid w:val="0017694C"/>
    <w:pPr>
      <w:ind w:firstLine="0"/>
    </w:pPr>
  </w:style>
  <w:style w:type="paragraph" w:styleId="ListContinue5">
    <w:name w:val="List Continue 5"/>
    <w:basedOn w:val="List5"/>
    <w:rsid w:val="0017694C"/>
    <w:pPr>
      <w:ind w:firstLine="0"/>
    </w:pPr>
  </w:style>
  <w:style w:type="paragraph" w:styleId="ListNumber3">
    <w:name w:val="List Number 3"/>
    <w:basedOn w:val="List3"/>
    <w:rsid w:val="0017694C"/>
    <w:pPr>
      <w:numPr>
        <w:numId w:val="5"/>
      </w:numPr>
    </w:pPr>
  </w:style>
  <w:style w:type="paragraph" w:styleId="ListNumber4">
    <w:name w:val="List Number 4"/>
    <w:basedOn w:val="List4"/>
    <w:rsid w:val="0017694C"/>
    <w:pPr>
      <w:numPr>
        <w:numId w:val="6"/>
      </w:numPr>
    </w:pPr>
  </w:style>
  <w:style w:type="paragraph" w:styleId="ListNumber5">
    <w:name w:val="List Number 5"/>
    <w:basedOn w:val="List5"/>
    <w:rsid w:val="0017694C"/>
    <w:pPr>
      <w:numPr>
        <w:numId w:val="7"/>
      </w:numPr>
    </w:pPr>
  </w:style>
  <w:style w:type="paragraph" w:styleId="BlockText">
    <w:name w:val="Block Text"/>
    <w:basedOn w:val="Normal"/>
    <w:rsid w:val="001769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9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94C"/>
    <w:rPr>
      <w:sz w:val="16"/>
      <w:vertAlign w:val="superscript"/>
    </w:rPr>
  </w:style>
  <w:style w:type="character" w:customStyle="1" w:styleId="Symbols">
    <w:name w:val="Symbols"/>
    <w:basedOn w:val="DefaultParagraphFont"/>
    <w:rsid w:val="0017694C"/>
    <w:rPr>
      <w:rFonts w:ascii="Symbol" w:hAnsi="Symbol"/>
    </w:rPr>
  </w:style>
  <w:style w:type="character" w:customStyle="1" w:styleId="MenuOptions">
    <w:name w:val="Menu Options"/>
    <w:basedOn w:val="DefaultParagraphFont"/>
    <w:rsid w:val="001769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94C"/>
    <w:rPr>
      <w:b/>
    </w:rPr>
  </w:style>
  <w:style w:type="character" w:customStyle="1" w:styleId="Underlined">
    <w:name w:val="Underlined"/>
    <w:basedOn w:val="DefaultParagraphFont"/>
    <w:rsid w:val="0017694C"/>
    <w:rPr>
      <w:u w:val="single"/>
    </w:rPr>
  </w:style>
  <w:style w:type="paragraph" w:customStyle="1" w:styleId="TableBodyTextRight">
    <w:name w:val="Table Body Text Right"/>
    <w:basedOn w:val="TableBodyText"/>
    <w:rsid w:val="001769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94C"/>
    <w:rPr>
      <w:sz w:val="18"/>
    </w:rPr>
  </w:style>
  <w:style w:type="paragraph" w:customStyle="1" w:styleId="BodySmallRight">
    <w:name w:val="Body Small Right"/>
    <w:basedOn w:val="BodyTextRight"/>
    <w:rsid w:val="0017694C"/>
    <w:rPr>
      <w:sz w:val="18"/>
      <w:szCs w:val="18"/>
    </w:rPr>
  </w:style>
  <w:style w:type="paragraph" w:customStyle="1" w:styleId="MarginEdition">
    <w:name w:val="Margin Edition"/>
    <w:basedOn w:val="MarginNote"/>
    <w:rsid w:val="001769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94C"/>
    <w:rPr>
      <w:sz w:val="2"/>
      <w:szCs w:val="2"/>
    </w:rPr>
  </w:style>
  <w:style w:type="character" w:customStyle="1" w:styleId="Small">
    <w:name w:val="Small"/>
    <w:basedOn w:val="DefaultParagraphFont"/>
    <w:rsid w:val="0017694C"/>
    <w:rPr>
      <w:sz w:val="16"/>
    </w:rPr>
  </w:style>
  <w:style w:type="paragraph" w:customStyle="1" w:styleId="WideTable">
    <w:name w:val="Wide Table"/>
    <w:basedOn w:val="Normal"/>
    <w:rsid w:val="001769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94C"/>
  </w:style>
  <w:style w:type="paragraph" w:styleId="Quote">
    <w:name w:val="Quote"/>
    <w:basedOn w:val="Heading1"/>
    <w:link w:val="QuoteChar"/>
    <w:qFormat/>
    <w:rsid w:val="001769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9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94C"/>
    <w:pPr>
      <w:pageBreakBefore/>
    </w:pPr>
  </w:style>
  <w:style w:type="paragraph" w:customStyle="1" w:styleId="Border">
    <w:name w:val="Border"/>
    <w:basedOn w:val="Normal"/>
    <w:qFormat/>
    <w:rsid w:val="001769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9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9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9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9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9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9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9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9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94C"/>
    <w:rPr>
      <w:u w:val="single"/>
    </w:rPr>
  </w:style>
  <w:style w:type="character" w:customStyle="1" w:styleId="BoldandItalics">
    <w:name w:val="Bold and Italics"/>
    <w:qFormat/>
    <w:rsid w:val="0017694C"/>
    <w:rPr>
      <w:b/>
      <w:i/>
      <w:u w:val="none"/>
    </w:rPr>
  </w:style>
  <w:style w:type="paragraph" w:styleId="BalloonText">
    <w:name w:val="Balloon Text"/>
    <w:basedOn w:val="Normal"/>
    <w:link w:val="BalloonTextChar"/>
    <w:rsid w:val="00176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9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9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9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9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9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94C"/>
    <w:pPr>
      <w:spacing w:before="0" w:after="0"/>
    </w:pPr>
  </w:style>
  <w:style w:type="paragraph" w:customStyle="1" w:styleId="BodyTextBold">
    <w:name w:val="Body Text Bold"/>
    <w:basedOn w:val="BodyText"/>
    <w:qFormat/>
    <w:rsid w:val="0017694C"/>
    <w:rPr>
      <w:b/>
    </w:rPr>
  </w:style>
  <w:style w:type="character" w:styleId="Hyperlink">
    <w:name w:val="Hyperlink"/>
    <w:basedOn w:val="DefaultParagraphFont"/>
    <w:uiPriority w:val="99"/>
    <w:unhideWhenUsed/>
    <w:rsid w:val="00143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4273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MEM20031 Gain entry and reinstate automotive locking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