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96A" w:rsidP="00F27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MEM20029 Develop and implement a master key system</w:t>
      </w:r>
      <w:r>
        <w:fldChar w:fldCharType="end"/>
      </w:r>
    </w:p>
    <w:p w:rsidR="00F2796A" w:rsidP="00F2796A">
      <w:pPr>
        <w:pStyle w:val="Version"/>
        <w:sectPr w:rsidSect="00255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68" w:rsidP="00255F68">
      <w:pPr>
        <w:pStyle w:val="SuperHeading"/>
      </w:pPr>
      <w:r w:rsidRPr="00255F68">
        <w:t>MEM20029 Develop and implement a master key system</w:t>
      </w:r>
    </w:p>
    <w:p w:rsidR="00000000" w:rsidRPr="00255F68" w:rsidP="00255F68">
      <w:pPr>
        <w:pStyle w:val="Heading1"/>
      </w:pPr>
      <w:bookmarkStart w:id="1" w:name="O_1269870"/>
      <w:bookmarkEnd w:id="1"/>
      <w:r w:rsidRPr="00255F68">
        <w:t>Modification History</w:t>
      </w:r>
    </w:p>
    <w:p w:rsidR="00F2796A" w:rsidP="00F2796A">
      <w:pPr>
        <w:pStyle w:val="BodyText"/>
      </w:pPr>
      <w:r w:rsidRPr="00255F68">
        <w:t>Release 1. Supersedes and is equivalent to MEM20008 Develop and implement a masterkey system.</w:t>
      </w:r>
    </w:p>
    <w:p w:rsidR="00000000" w:rsidRPr="00255F68" w:rsidP="00255F68">
      <w:pPr>
        <w:pStyle w:val="Heading1"/>
      </w:pPr>
      <w:bookmarkStart w:id="2" w:name="O_1269871"/>
      <w:bookmarkEnd w:id="2"/>
      <w:r w:rsidRPr="00255F68">
        <w:t>Application</w:t>
      </w:r>
    </w:p>
    <w:p w:rsidR="00000000" w:rsidRPr="00255F68" w:rsidP="00F2796A">
      <w:pPr>
        <w:pStyle w:val="BodyText"/>
      </w:pPr>
      <w:r w:rsidRPr="00255F68">
        <w:t>This unit of competency defines the skills and knowledge required to create new commercial master ke</w:t>
      </w:r>
      <w:r w:rsidRPr="00255F68">
        <w:t>y systems and expand existing keying systems, using even cut and rotating constant progression methods.</w:t>
      </w:r>
    </w:p>
    <w:p w:rsidR="00000000" w:rsidRPr="00255F68" w:rsidP="00F2796A">
      <w:pPr>
        <w:pStyle w:val="BodyText"/>
      </w:pPr>
      <w:r w:rsidRPr="00255F68">
        <w:t>It applies to master key systems written manually and using a computer master keying package for high security cylinders, primarily for commercial opera</w:t>
      </w:r>
      <w:r w:rsidRPr="00255F68">
        <w:t>tions.</w:t>
      </w:r>
    </w:p>
    <w:p w:rsidR="00000000" w:rsidRPr="00255F68" w:rsidP="00F2796A">
      <w:pPr>
        <w:pStyle w:val="BodyText"/>
      </w:pPr>
      <w:r w:rsidRPr="00255F68">
        <w:t>Where a security survey/site assessment is required unit MEM20035 Perform a site security survey should also be selected.</w:t>
      </w:r>
    </w:p>
    <w:p w:rsidR="00000000" w:rsidRPr="00255F68" w:rsidP="00F2796A">
      <w:pPr>
        <w:pStyle w:val="BodyText"/>
      </w:pPr>
      <w:r w:rsidRPr="00255F68">
        <w:t>No licensing, legislative or certification requirements apply to this unit at the time of publication.</w:t>
      </w:r>
    </w:p>
    <w:p w:rsidR="00000000" w:rsidRPr="00255F68" w:rsidP="00F2796A">
      <w:pPr>
        <w:pStyle w:val="BodyText"/>
      </w:pPr>
      <w:r w:rsidRPr="00255F68">
        <w:rPr>
          <w:rStyle w:val="SpecialBold"/>
        </w:rPr>
        <w:t xml:space="preserve">Band: </w:t>
      </w:r>
      <w:r w:rsidRPr="00255F68">
        <w:t>This unit has dual</w:t>
      </w:r>
      <w:r w:rsidRPr="00255F68">
        <w:t xml:space="preserve"> status and is to be regarded as both a Specialisation Band A unit and Specialisation Band B unit for progression to C5 (AQF level V).</w:t>
      </w:r>
    </w:p>
    <w:p w:rsidR="00F2796A" w:rsidP="00F2796A">
      <w:pPr>
        <w:pStyle w:val="Heading3"/>
      </w:pPr>
      <w:r w:rsidRPr="00255F68">
        <w:rPr>
          <w:rStyle w:val="SpecialBold"/>
        </w:rPr>
        <w:t>Unit Weight</w:t>
      </w:r>
      <w:r w:rsidRPr="00255F68">
        <w:t xml:space="preserve">: </w:t>
      </w:r>
      <w:r w:rsidRPr="00255F68">
        <w:rPr>
          <w:rStyle w:val="SpecialBold"/>
        </w:rPr>
        <w:t>6</w:t>
      </w:r>
    </w:p>
    <w:p w:rsidR="00000000" w:rsidRPr="00255F68" w:rsidP="00255F68">
      <w:pPr>
        <w:pStyle w:val="Heading1"/>
      </w:pPr>
      <w:bookmarkStart w:id="3" w:name="O_1269872"/>
      <w:bookmarkEnd w:id="3"/>
      <w:r w:rsidRPr="00255F68">
        <w:t>Pre-requisite Unit</w:t>
      </w:r>
    </w:p>
    <w:p w:rsidR="00000000" w:rsidRPr="00255F68" w:rsidP="00F2796A">
      <w:pPr>
        <w:pStyle w:val="Heading3"/>
      </w:pPr>
      <w:r w:rsidRPr="00255F68">
        <w:t>MEM12024 Perform computations</w:t>
      </w:r>
    </w:p>
    <w:p w:rsidR="00000000" w:rsidRPr="00255F68" w:rsidP="00F2796A">
      <w:pPr>
        <w:pStyle w:val="List"/>
      </w:pPr>
      <w:r w:rsidRPr="00255F68">
        <w:t xml:space="preserve">MEM13015 Work safely and effectively </w:t>
      </w:r>
      <w:r w:rsidRPr="00255F68">
        <w:t>in manufacturing and engineering</w:t>
      </w:r>
    </w:p>
    <w:p w:rsidR="00000000" w:rsidRPr="00255F68" w:rsidP="00F2796A">
      <w:pPr>
        <w:pStyle w:val="List"/>
      </w:pPr>
      <w:r w:rsidRPr="00255F68">
        <w:t>MEM16006 Organise and communicate information</w:t>
      </w:r>
    </w:p>
    <w:p w:rsidR="00000000" w:rsidRPr="00255F68" w:rsidP="00F2796A">
      <w:pPr>
        <w:pStyle w:val="List"/>
      </w:pPr>
      <w:r w:rsidRPr="00255F68">
        <w:t>MEM18001 Use hand tools</w:t>
      </w:r>
    </w:p>
    <w:p w:rsidR="00000000" w:rsidRPr="00255F68" w:rsidP="00F2796A">
      <w:pPr>
        <w:pStyle w:val="List"/>
      </w:pPr>
      <w:r w:rsidRPr="00255F68">
        <w:t>MEM20023 Assemble and test lock mechanisms</w:t>
      </w:r>
    </w:p>
    <w:p w:rsidR="00000000" w:rsidRPr="00255F68" w:rsidP="00F2796A">
      <w:pPr>
        <w:pStyle w:val="List"/>
      </w:pPr>
      <w:r w:rsidRPr="00255F68">
        <w:t>MEM20028 Plan and prepare a master key system</w:t>
      </w:r>
    </w:p>
    <w:p w:rsidR="00000000" w:rsidRPr="00255F68" w:rsidP="00F2796A">
      <w:pPr>
        <w:pStyle w:val="List"/>
      </w:pPr>
      <w:r w:rsidRPr="00255F68">
        <w:t>MEM20015 Produce hand cut keys</w:t>
      </w:r>
    </w:p>
    <w:p w:rsidR="00000000" w:rsidRPr="00255F68" w:rsidP="00F2796A">
      <w:pPr>
        <w:pStyle w:val="List"/>
      </w:pPr>
      <w:r w:rsidRPr="00255F68">
        <w:t xml:space="preserve">MEM20016 Produce keys by cutting </w:t>
      </w:r>
      <w:r w:rsidRPr="00255F68">
        <w:t>to code</w:t>
      </w:r>
    </w:p>
    <w:p w:rsidR="00F2796A" w:rsidP="00F2796A">
      <w:pPr>
        <w:pStyle w:val="List"/>
      </w:pPr>
      <w:r w:rsidRPr="00255F68">
        <w:t>MEM20017 Produce keys by duplication</w:t>
      </w:r>
    </w:p>
    <w:p w:rsidR="00F2796A" w:rsidP="00255F68">
      <w:pPr>
        <w:pStyle w:val="BodyText"/>
      </w:pPr>
    </w:p>
    <w:p w:rsidR="00000000" w:rsidRPr="00255F68" w:rsidP="00255F68">
      <w:pPr>
        <w:pStyle w:val="Heading1"/>
      </w:pPr>
      <w:bookmarkStart w:id="4" w:name="O_1269873"/>
      <w:bookmarkEnd w:id="4"/>
      <w:r w:rsidRPr="00255F68">
        <w:t>Competency Field</w:t>
      </w:r>
    </w:p>
    <w:p w:rsidR="00F2796A" w:rsidP="00F2796A">
      <w:pPr>
        <w:pStyle w:val="BodyText"/>
      </w:pPr>
      <w:r w:rsidRPr="00255F68">
        <w:t>Locksmithing</w:t>
      </w:r>
    </w:p>
    <w:p w:rsidR="00000000" w:rsidRPr="00255F68" w:rsidP="00255F68">
      <w:pPr>
        <w:pStyle w:val="Heading1"/>
      </w:pPr>
      <w:bookmarkStart w:id="5" w:name="O_1269875"/>
      <w:bookmarkEnd w:id="5"/>
      <w:r w:rsidRPr="00255F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rPr>
                <w:rStyle w:val="SpecialBold"/>
              </w:rPr>
              <w:t>Performance Criteria</w:t>
            </w:r>
          </w:p>
        </w:tc>
      </w:tr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rPr>
                <w:rStyle w:val="Emphasis"/>
              </w:rPr>
              <w:t xml:space="preserve">Elements describe the </w:t>
            </w:r>
            <w:r w:rsidRPr="00255F68">
              <w:t xml:space="preserve">essential </w:t>
            </w:r>
            <w:r w:rsidRPr="00255F6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t>1.1 Follow standard operating procedures (SOPs)</w:t>
            </w:r>
          </w:p>
          <w:p w:rsidR="00000000" w:rsidRPr="00255F68" w:rsidP="00255F68">
            <w:pPr>
              <w:pStyle w:val="BodyText"/>
            </w:pPr>
            <w:r w:rsidRPr="00255F68">
              <w:t>1.2 Comply with work health and safety (WHS) requirements at all times</w:t>
            </w:r>
          </w:p>
          <w:p w:rsidR="00000000" w:rsidRPr="00255F68" w:rsidP="00255F68">
            <w:pPr>
              <w:pStyle w:val="BodyText"/>
            </w:pPr>
            <w:r w:rsidRPr="00255F68">
              <w:t>1.3 Select</w:t>
            </w:r>
            <w:r w:rsidRPr="00255F68">
              <w:t xml:space="preserve"> and use personal protective equipment (PPE) in accordance with SOPs</w:t>
            </w:r>
          </w:p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1.4 Identify job requirements from specifications</w:t>
            </w:r>
          </w:p>
        </w:tc>
      </w:tr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2. Assess customer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t>2.1 Consider physical characteristics of existing locks and other security devices and determine requirement for additional site inspection</w:t>
            </w:r>
          </w:p>
          <w:p w:rsidR="00000000" w:rsidRPr="00255F68" w:rsidP="00255F68">
            <w:pPr>
              <w:pStyle w:val="BodyText"/>
            </w:pPr>
            <w:r w:rsidRPr="00255F68">
              <w:t>2.2 Discuss customer access and task requirements and clarify in accordance with SOPs</w:t>
            </w:r>
          </w:p>
          <w:p w:rsidR="00000000" w:rsidRPr="00255F68" w:rsidP="00255F68">
            <w:pPr>
              <w:pStyle w:val="BodyText"/>
            </w:pPr>
            <w:r w:rsidRPr="00255F68">
              <w:t>2.3 Interpret architectural pl</w:t>
            </w:r>
            <w:r w:rsidRPr="00255F68">
              <w:t>ans, floor plans and charts when planning and preparing a master key system in line with scope of job requirements</w:t>
            </w:r>
          </w:p>
          <w:p w:rsidR="00000000" w:rsidRPr="00255F68" w:rsidP="00255F68">
            <w:pPr>
              <w:pStyle w:val="BodyText"/>
            </w:pPr>
            <w:r w:rsidRPr="00255F68">
              <w:t>2.4 Evaluate customer requirements with respect to current capacity, and make recommendations for the design of new or expanded system</w:t>
            </w:r>
          </w:p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2.5 Id</w:t>
            </w:r>
            <w:r w:rsidRPr="00255F68">
              <w:t>entify personal limitations in assessing requirements for master key system and seek assistance from appropriate personnel in accordance with SOPs</w:t>
            </w:r>
          </w:p>
        </w:tc>
      </w:tr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3. Design master key system and system modifications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t>3.1 Design commercial master key system to meet custome</w:t>
            </w:r>
            <w:r w:rsidRPr="00255F68">
              <w:t>r complex access requirements</w:t>
            </w:r>
          </w:p>
          <w:p w:rsidR="00000000" w:rsidRPr="00255F68" w:rsidP="00255F68">
            <w:pPr>
              <w:pStyle w:val="BodyText"/>
            </w:pPr>
            <w:r w:rsidRPr="00255F68">
              <w:t>3.2 Check system for interchange based on specifications</w:t>
            </w:r>
          </w:p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3.3 Apply principles and processes of master keying in accordance with industry practice and organisational requirements</w:t>
            </w:r>
          </w:p>
        </w:tc>
      </w:tr>
      <w:tr w:rsidTr="00F27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4. Finalise system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t>4.1 Review final syst</w:t>
            </w:r>
            <w:r w:rsidRPr="00255F68">
              <w:t>em design and keying requirements and confirm with appropriate personnel in accordance with organisational requirements</w:t>
            </w:r>
          </w:p>
          <w:p w:rsidR="00000000" w:rsidRPr="00255F68" w:rsidP="00255F68">
            <w:pPr>
              <w:pStyle w:val="BodyText"/>
            </w:pPr>
            <w:r w:rsidRPr="00255F68">
              <w:t>4.2 Prepare documentation to allow for future interpretation and design requirements</w:t>
            </w:r>
          </w:p>
          <w:p w:rsidR="00000000" w:rsidRPr="00255F68" w:rsidP="00255F68">
            <w:pPr>
              <w:pStyle w:val="BodyText"/>
            </w:pPr>
            <w:r w:rsidRPr="00255F68">
              <w:t>4.3 Prepare documentation, and process and store in</w:t>
            </w:r>
            <w:r w:rsidRPr="00255F68">
              <w:t xml:space="preserve"> accordance with client, legislative requirements and SOPs</w:t>
            </w:r>
          </w:p>
        </w:tc>
      </w:tr>
    </w:tbl>
    <w:p w:rsidR="00F2796A" w:rsidP="00255F68">
      <w:pPr>
        <w:pStyle w:val="BodyText"/>
      </w:pPr>
    </w:p>
    <w:p w:rsidR="00F2796A" w:rsidP="00255F68">
      <w:pPr>
        <w:pStyle w:val="BodyText"/>
      </w:pPr>
    </w:p>
    <w:p w:rsidR="00000000" w:rsidRPr="00255F68" w:rsidP="00255F68">
      <w:pPr>
        <w:pStyle w:val="Heading1"/>
      </w:pPr>
      <w:bookmarkStart w:id="6" w:name="O_1269876"/>
      <w:bookmarkEnd w:id="6"/>
      <w:r w:rsidRPr="00255F68">
        <w:t>Foundation Skills</w:t>
      </w:r>
    </w:p>
    <w:p w:rsidR="00000000" w:rsidRPr="00255F68" w:rsidP="00F2796A">
      <w:pPr>
        <w:pStyle w:val="BodyText"/>
      </w:pPr>
      <w:r w:rsidRPr="00255F68">
        <w:t>This section describes those language, literacy, numeracy and employment skills that are essential to performance.</w:t>
      </w:r>
    </w:p>
    <w:p w:rsidR="00F2796A" w:rsidP="00F2796A">
      <w:pPr>
        <w:pStyle w:val="BodyText"/>
      </w:pPr>
      <w:r w:rsidRPr="00255F68">
        <w:t>Foundation skills essential to performance are explicit in the performance criteria of this unit of competency.</w:t>
      </w:r>
    </w:p>
    <w:p w:rsidR="00000000" w:rsidRPr="00255F68" w:rsidP="00255F68">
      <w:pPr>
        <w:pStyle w:val="Heading1"/>
      </w:pPr>
      <w:bookmarkStart w:id="7" w:name="O_1269877"/>
      <w:bookmarkEnd w:id="7"/>
      <w:r w:rsidRPr="00255F68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BodyText"/>
            </w:pPr>
            <w:r w:rsidRPr="00255F68">
              <w:rPr>
                <w:rStyle w:val="SpecialBold"/>
              </w:rPr>
              <w:t>Range of Conditions</w:t>
            </w:r>
          </w:p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This field allows for different work environments and conditions that may affect per</w:t>
            </w:r>
            <w:r w:rsidRPr="00255F68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Specifications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>drawings</w:t>
            </w:r>
          </w:p>
          <w:p w:rsidR="00000000" w:rsidRPr="00255F68" w:rsidP="00255F68">
            <w:pPr>
              <w:pStyle w:val="ListBullet"/>
            </w:pPr>
            <w:r w:rsidRPr="00255F68">
              <w:t>job sheets</w:t>
            </w:r>
          </w:p>
          <w:p w:rsidR="00000000" w:rsidRPr="00255F68" w:rsidP="00255F68">
            <w:pPr>
              <w:pStyle w:val="ListBullet"/>
            </w:pPr>
            <w:r w:rsidRPr="00255F68">
              <w:t>work instructions</w:t>
            </w:r>
          </w:p>
          <w:p w:rsidR="00000000" w:rsidP="00255F68">
            <w:pPr>
              <w:pStyle w:val="ListBullet"/>
              <w:rPr>
                <w:lang w:val="en-NZ"/>
              </w:rPr>
            </w:pPr>
            <w:r w:rsidRPr="00255F68">
              <w:t>work orders.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Customer requirements includes: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>specific client requirements and quantities</w:t>
            </w:r>
          </w:p>
          <w:p w:rsidR="00000000" w:rsidRPr="00255F68" w:rsidP="00255F68">
            <w:pPr>
              <w:pStyle w:val="ListBullet"/>
            </w:pPr>
            <w:r w:rsidRPr="00255F68">
              <w:t>job requirements and tasks</w:t>
            </w:r>
          </w:p>
          <w:p w:rsidR="00000000" w:rsidRPr="00255F68" w:rsidP="00255F68">
            <w:pPr>
              <w:pStyle w:val="ListBullet"/>
            </w:pPr>
            <w:r w:rsidRPr="00255F68">
              <w:t>work health and safety (WHS) requirements</w:t>
            </w:r>
          </w:p>
          <w:p w:rsidR="00000000" w:rsidRPr="00255F68" w:rsidP="00255F68">
            <w:pPr>
              <w:pStyle w:val="BodyText"/>
            </w:pPr>
            <w:r w:rsidRPr="00255F68">
              <w:t>Plus one or more of the following:</w:t>
            </w:r>
          </w:p>
          <w:p w:rsidR="00000000" w:rsidRPr="00255F68" w:rsidP="00255F68">
            <w:pPr>
              <w:pStyle w:val="ListBullet"/>
            </w:pPr>
            <w:r w:rsidRPr="00255F68">
              <w:t>completion times and dates</w:t>
            </w:r>
          </w:p>
          <w:p w:rsidR="00000000" w:rsidRPr="00255F68" w:rsidP="00255F68">
            <w:pPr>
              <w:pStyle w:val="ListBullet"/>
            </w:pPr>
            <w:r w:rsidRPr="00255F68">
              <w:t>signature authorities</w:t>
            </w:r>
          </w:p>
          <w:p w:rsidR="00000000" w:rsidRPr="00255F68" w:rsidP="00255F68">
            <w:pPr>
              <w:pStyle w:val="ListBullet"/>
            </w:pPr>
            <w:r w:rsidRPr="00255F68">
              <w:t>company requirements</w:t>
            </w:r>
          </w:p>
          <w:p w:rsidR="00000000" w:rsidP="00255F68">
            <w:pPr>
              <w:pStyle w:val="ListBullet"/>
              <w:rPr>
                <w:lang w:val="en-NZ"/>
              </w:rPr>
            </w:pPr>
            <w:r w:rsidRPr="00255F68">
              <w:t>compliance with relevant manufacturer requirements, warranties and service information.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System expansion includes creation of excess codes to allow for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 xml:space="preserve"> multi-broaching</w:t>
            </w:r>
          </w:p>
          <w:p w:rsidR="00000000" w:rsidRPr="00255F68" w:rsidP="00255F68">
            <w:pPr>
              <w:pStyle w:val="BodyText"/>
            </w:pPr>
            <w:r w:rsidRPr="00255F68">
              <w:t>Plus one or more of the following:</w:t>
            </w:r>
          </w:p>
          <w:p w:rsidR="00000000" w:rsidRPr="00255F68" w:rsidP="00255F68">
            <w:pPr>
              <w:pStyle w:val="ListBullet"/>
            </w:pPr>
            <w:r w:rsidRPr="00255F68">
              <w:t>lost keys</w:t>
            </w:r>
          </w:p>
          <w:p w:rsidR="00000000" w:rsidRPr="00255F68" w:rsidP="00255F68">
            <w:pPr>
              <w:pStyle w:val="ListBullet"/>
            </w:pPr>
            <w:r w:rsidRPr="00255F68">
              <w:t>unusable codes</w:t>
            </w:r>
          </w:p>
          <w:p w:rsidR="00000000" w:rsidP="00255F68">
            <w:pPr>
              <w:pStyle w:val="ListBullet"/>
              <w:rPr>
                <w:lang w:val="en-NZ"/>
              </w:rPr>
            </w:pPr>
            <w:r w:rsidRPr="00255F68">
              <w:t>future customer requirements.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Commercial master key systems include: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>rotating disc tumbler</w:t>
            </w:r>
          </w:p>
          <w:p w:rsidR="00000000" w:rsidRPr="00255F68" w:rsidP="00255F68">
            <w:pPr>
              <w:pStyle w:val="ListBullet"/>
            </w:pPr>
            <w:r w:rsidRPr="00255F68">
              <w:t>radial pin tumbler</w:t>
            </w:r>
          </w:p>
          <w:p w:rsidR="00000000" w:rsidRPr="00255F68" w:rsidP="00255F68">
            <w:pPr>
              <w:pStyle w:val="ListBullet"/>
            </w:pPr>
            <w:r w:rsidRPr="00255F68">
              <w:t>pin tumbler sidebar</w:t>
            </w:r>
          </w:p>
          <w:p w:rsidR="00000000" w:rsidRPr="00255F68" w:rsidP="00255F68">
            <w:pPr>
              <w:pStyle w:val="BodyText"/>
            </w:pPr>
            <w:r w:rsidRPr="00255F68">
              <w:t>Plus one or more of the following:</w:t>
            </w:r>
          </w:p>
          <w:p w:rsidR="00000000" w:rsidRPr="00255F68" w:rsidP="00255F68">
            <w:pPr>
              <w:pStyle w:val="ListBullet"/>
            </w:pPr>
            <w:r w:rsidRPr="00255F68">
              <w:t>multi-prof</w:t>
            </w:r>
            <w:r w:rsidRPr="00255F68">
              <w:t>ile inline pin tumbler cylinders</w:t>
            </w:r>
          </w:p>
          <w:p w:rsidR="00000000" w:rsidRPr="00255F68" w:rsidP="00255F68">
            <w:pPr>
              <w:pStyle w:val="ListBullet"/>
            </w:pPr>
            <w:r w:rsidRPr="00255F68">
              <w:t>rotating pin tumbler</w:t>
            </w:r>
          </w:p>
          <w:p w:rsidR="00000000" w:rsidP="00255F68">
            <w:pPr>
              <w:pStyle w:val="ListBullet"/>
              <w:rPr>
                <w:lang w:val="en-NZ"/>
              </w:rPr>
            </w:pPr>
            <w:r w:rsidRPr="00255F68">
              <w:t>slider sidebar.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Complex access requirements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>cross-keying</w:t>
            </w:r>
          </w:p>
          <w:p w:rsidR="00000000" w:rsidRPr="00255F68" w:rsidP="00255F68">
            <w:pPr>
              <w:pStyle w:val="ListBullet"/>
            </w:pPr>
            <w:r w:rsidRPr="00255F68">
              <w:t>sub-master keying</w:t>
            </w:r>
          </w:p>
          <w:p w:rsidR="00000000" w:rsidRPr="00255F68" w:rsidP="00255F68">
            <w:pPr>
              <w:pStyle w:val="ListBullet"/>
            </w:pPr>
            <w:r w:rsidRPr="00255F68">
              <w:t>incidental master keying</w:t>
            </w:r>
          </w:p>
          <w:p w:rsidR="00000000" w:rsidRPr="00255F68" w:rsidP="00255F68">
            <w:pPr>
              <w:pStyle w:val="ListBullet"/>
            </w:pPr>
            <w:r w:rsidRPr="00255F68">
              <w:t>selective keying</w:t>
            </w:r>
          </w:p>
          <w:p w:rsidR="00000000" w:rsidRPr="00255F68" w:rsidP="00255F68">
            <w:pPr>
              <w:pStyle w:val="ListBullet"/>
            </w:pPr>
            <w:r w:rsidRPr="00255F68">
              <w:t>construction keying</w:t>
            </w:r>
          </w:p>
          <w:p w:rsidR="00000000" w:rsidP="00255F68">
            <w:pPr>
              <w:pStyle w:val="ListBullet"/>
              <w:rPr>
                <w:lang w:val="en-NZ"/>
              </w:rPr>
            </w:pPr>
            <w:r w:rsidRPr="00255F68">
              <w:t>maisoning.</w:t>
            </w:r>
          </w:p>
        </w:tc>
      </w:tr>
      <w:tr w:rsidTr="00255F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8">
            <w:pPr>
              <w:pStyle w:val="BodyText"/>
              <w:rPr>
                <w:lang w:val="en-NZ"/>
              </w:rPr>
            </w:pPr>
            <w:r w:rsidRPr="00255F68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8" w:rsidP="00255F68">
            <w:pPr>
              <w:pStyle w:val="ListBullet"/>
            </w:pPr>
            <w:r w:rsidRPr="00255F68">
              <w:t>materials used</w:t>
            </w:r>
          </w:p>
          <w:p w:rsidR="00000000" w:rsidRPr="00255F68" w:rsidP="00255F68">
            <w:pPr>
              <w:pStyle w:val="ListBullet"/>
            </w:pPr>
            <w:r w:rsidRPr="00255F68">
              <w:t>master key plans master key plans that may involve key and door schedules and code matrices</w:t>
            </w:r>
          </w:p>
          <w:p w:rsidR="00000000" w:rsidRPr="00255F68" w:rsidP="00255F68">
            <w:pPr>
              <w:pStyle w:val="ListBullet"/>
            </w:pPr>
            <w:r w:rsidRPr="00255F68">
              <w:t>job sheets</w:t>
            </w:r>
          </w:p>
          <w:p w:rsidR="00000000" w:rsidRPr="00255F68" w:rsidP="00255F68">
            <w:pPr>
              <w:pStyle w:val="ListBullet"/>
            </w:pPr>
            <w:r w:rsidRPr="00255F68">
              <w:t>manufacturer documentation</w:t>
            </w:r>
          </w:p>
          <w:p w:rsidR="00000000" w:rsidRPr="00255F68" w:rsidP="00255F68">
            <w:pPr>
              <w:pStyle w:val="ListBullet"/>
            </w:pPr>
            <w:r w:rsidRPr="00255F68">
              <w:t>identified faults</w:t>
            </w:r>
          </w:p>
          <w:p w:rsidR="00000000" w:rsidRPr="00255F68" w:rsidP="00255F68">
            <w:pPr>
              <w:pStyle w:val="ListBullet"/>
            </w:pPr>
            <w:r w:rsidRPr="00255F68">
              <w:t>warranties and recommendations</w:t>
            </w:r>
          </w:p>
          <w:p w:rsidR="00000000" w:rsidRPr="00255F68" w:rsidP="00255F68">
            <w:pPr>
              <w:pStyle w:val="ListBullet"/>
            </w:pPr>
            <w:r w:rsidRPr="00255F68">
              <w:t>costs.</w:t>
            </w:r>
          </w:p>
        </w:tc>
      </w:tr>
    </w:tbl>
    <w:p w:rsidR="00F2796A" w:rsidP="00255F68">
      <w:pPr>
        <w:pStyle w:val="BodyText"/>
      </w:pPr>
    </w:p>
    <w:p w:rsidR="00F2796A" w:rsidP="00255F68">
      <w:pPr>
        <w:pStyle w:val="BodyText"/>
      </w:pPr>
    </w:p>
    <w:p w:rsidR="00000000" w:rsidRPr="00255F68" w:rsidP="00255F68">
      <w:pPr>
        <w:pStyle w:val="Heading1"/>
      </w:pPr>
      <w:bookmarkStart w:id="8" w:name="O_1269878"/>
      <w:bookmarkEnd w:id="8"/>
      <w:r w:rsidRPr="00255F68">
        <w:t>Unit Mapping Information</w:t>
      </w:r>
    </w:p>
    <w:p w:rsidR="00F2796A" w:rsidP="00F2796A">
      <w:pPr>
        <w:pStyle w:val="BodyText"/>
      </w:pPr>
      <w:r w:rsidRPr="00255F68">
        <w:t>Release 1. Supersedes and is equivalent to MEM20008 Develop and implement a master key system.</w:t>
      </w:r>
    </w:p>
    <w:p w:rsidR="00000000" w:rsidRPr="00255F68" w:rsidP="00255F68">
      <w:pPr>
        <w:pStyle w:val="Heading1"/>
      </w:pPr>
      <w:bookmarkStart w:id="9" w:name="O_1269885"/>
      <w:bookmarkEnd w:id="9"/>
      <w:r w:rsidRPr="00255F68">
        <w:t>Links</w:t>
      </w:r>
    </w:p>
    <w:p w:rsidR="00000000" w:rsidRPr="00255F68" w:rsidP="00F2796A">
      <w:pPr>
        <w:pStyle w:val="BodyText"/>
      </w:pPr>
      <w:r w:rsidRPr="00255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D69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55F68" w:rsidP="00255F68"/>
    <w:sectPr w:rsidSect="00255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8" w:rsidRPr="00F2796A" w:rsidP="00F27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6A" w:rsidP="00255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96A" w:rsidP="00255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796A" w:rsidP="00255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68" w:rsidRPr="00F2796A" w:rsidP="00F27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6A" w:rsidRPr="002D2AF8" w:rsidP="00255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MEM20029 Develop and implement a master 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2796A" w:rsidP="00255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A3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6AD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68"/>
  </w:style>
  <w:style w:type="character" w:customStyle="1" w:styleId="Heading1Char">
    <w:name w:val="Heading 1 Char"/>
    <w:basedOn w:val="DefaultParagraphFont"/>
    <w:link w:val="Heading1"/>
    <w:rsid w:val="00255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F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F68"/>
    <w:rPr>
      <w:b/>
      <w:spacing w:val="0"/>
    </w:rPr>
  </w:style>
  <w:style w:type="character" w:styleId="Emphasis">
    <w:name w:val="Emphasis"/>
    <w:basedOn w:val="DefaultParagraphFont"/>
    <w:qFormat/>
    <w:rsid w:val="00255F68"/>
    <w:rPr>
      <w:i/>
    </w:rPr>
  </w:style>
  <w:style w:type="paragraph" w:customStyle="1" w:styleId="SuperHeading">
    <w:name w:val="SuperHeading"/>
    <w:basedOn w:val="Normal"/>
    <w:rsid w:val="00255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68"/>
  </w:style>
  <w:style w:type="paragraph" w:styleId="TableofFigures">
    <w:name w:val="table of figures"/>
    <w:basedOn w:val="Normal"/>
    <w:next w:val="Normal"/>
    <w:semiHidden/>
    <w:rsid w:val="00255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F68"/>
    <w:rPr>
      <w:rFonts w:ascii="Wingdings" w:hAnsi="Wingdings"/>
    </w:rPr>
  </w:style>
  <w:style w:type="paragraph" w:customStyle="1" w:styleId="TableHeading">
    <w:name w:val="Table Heading"/>
    <w:basedOn w:val="HeadingBase"/>
    <w:rsid w:val="00255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68"/>
    <w:rPr>
      <w:color w:val="0033CC"/>
      <w:u w:val="none"/>
    </w:rPr>
  </w:style>
  <w:style w:type="paragraph" w:customStyle="1" w:styleId="BodyTextRight">
    <w:name w:val="Body Text Right"/>
    <w:basedOn w:val="BodyText"/>
    <w:rsid w:val="00255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68"/>
    <w:rPr>
      <w:sz w:val="32"/>
    </w:rPr>
  </w:style>
  <w:style w:type="paragraph" w:customStyle="1" w:styleId="HeadingProcedure">
    <w:name w:val="Heading Procedure"/>
    <w:basedOn w:val="HeadingBase"/>
    <w:next w:val="Normal"/>
    <w:rsid w:val="00255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68"/>
    <w:pPr>
      <w:spacing w:before="60" w:after="60"/>
    </w:pPr>
  </w:style>
  <w:style w:type="paragraph" w:styleId="ListContinue">
    <w:name w:val="List Continue"/>
    <w:basedOn w:val="List"/>
    <w:rsid w:val="00255F68"/>
    <w:pPr>
      <w:ind w:firstLine="0"/>
    </w:pPr>
  </w:style>
  <w:style w:type="paragraph" w:customStyle="1" w:styleId="ListNote">
    <w:name w:val="List Note"/>
    <w:basedOn w:val="List"/>
    <w:rsid w:val="00255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68"/>
    <w:rPr>
      <w:rFonts w:ascii="Courier New" w:hAnsi="Courier New"/>
    </w:rPr>
  </w:style>
  <w:style w:type="paragraph" w:customStyle="1" w:styleId="NoteBullet">
    <w:name w:val="Note Bullet"/>
    <w:basedOn w:val="Note"/>
    <w:rsid w:val="00255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68"/>
    <w:rPr>
      <w:b/>
      <w:smallCaps/>
    </w:rPr>
  </w:style>
  <w:style w:type="paragraph" w:customStyle="1" w:styleId="TableListNumber">
    <w:name w:val="Table List Number"/>
    <w:basedOn w:val="ListNumber"/>
    <w:rsid w:val="00255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68"/>
    <w:pPr>
      <w:numPr>
        <w:numId w:val="8"/>
      </w:numPr>
    </w:pPr>
  </w:style>
  <w:style w:type="paragraph" w:customStyle="1" w:styleId="ListAlpha2">
    <w:name w:val="List Alpha 2"/>
    <w:basedOn w:val="List2"/>
    <w:rsid w:val="00255F68"/>
    <w:pPr>
      <w:numPr>
        <w:numId w:val="7"/>
      </w:numPr>
    </w:pPr>
  </w:style>
  <w:style w:type="paragraph" w:styleId="List2">
    <w:name w:val="List 2"/>
    <w:basedOn w:val="BodyText"/>
    <w:rsid w:val="00255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F68"/>
    <w:pPr>
      <w:numPr>
        <w:numId w:val="3"/>
      </w:numPr>
    </w:pPr>
  </w:style>
  <w:style w:type="paragraph" w:styleId="ListContinue2">
    <w:name w:val="List Continue 2"/>
    <w:basedOn w:val="List2"/>
    <w:rsid w:val="00255F68"/>
    <w:pPr>
      <w:ind w:firstLine="0"/>
    </w:pPr>
  </w:style>
  <w:style w:type="paragraph" w:styleId="ListContinue3">
    <w:name w:val="List Continue 3"/>
    <w:basedOn w:val="List3"/>
    <w:rsid w:val="00255F68"/>
    <w:pPr>
      <w:ind w:left="1021" w:firstLine="0"/>
    </w:pPr>
  </w:style>
  <w:style w:type="paragraph" w:styleId="ListContinue4">
    <w:name w:val="List Continue 4"/>
    <w:basedOn w:val="List4"/>
    <w:rsid w:val="00255F68"/>
    <w:pPr>
      <w:ind w:firstLine="0"/>
    </w:pPr>
  </w:style>
  <w:style w:type="paragraph" w:styleId="ListContinue5">
    <w:name w:val="List Continue 5"/>
    <w:basedOn w:val="List5"/>
    <w:rsid w:val="00255F68"/>
    <w:pPr>
      <w:ind w:firstLine="0"/>
    </w:pPr>
  </w:style>
  <w:style w:type="paragraph" w:styleId="ListNumber3">
    <w:name w:val="List Number 3"/>
    <w:basedOn w:val="List3"/>
    <w:rsid w:val="00255F68"/>
    <w:pPr>
      <w:numPr>
        <w:numId w:val="4"/>
      </w:numPr>
    </w:pPr>
  </w:style>
  <w:style w:type="paragraph" w:styleId="ListNumber4">
    <w:name w:val="List Number 4"/>
    <w:basedOn w:val="List4"/>
    <w:rsid w:val="00255F68"/>
    <w:pPr>
      <w:numPr>
        <w:numId w:val="5"/>
      </w:numPr>
    </w:pPr>
  </w:style>
  <w:style w:type="paragraph" w:styleId="ListNumber5">
    <w:name w:val="List Number 5"/>
    <w:basedOn w:val="List5"/>
    <w:rsid w:val="00255F68"/>
    <w:pPr>
      <w:numPr>
        <w:numId w:val="6"/>
      </w:numPr>
    </w:pPr>
  </w:style>
  <w:style w:type="paragraph" w:styleId="BlockText">
    <w:name w:val="Block Text"/>
    <w:basedOn w:val="Normal"/>
    <w:rsid w:val="00255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68"/>
    <w:rPr>
      <w:sz w:val="16"/>
      <w:vertAlign w:val="superscript"/>
    </w:rPr>
  </w:style>
  <w:style w:type="character" w:customStyle="1" w:styleId="Symbols">
    <w:name w:val="Symbols"/>
    <w:basedOn w:val="DefaultParagraphFont"/>
    <w:rsid w:val="00255F68"/>
    <w:rPr>
      <w:rFonts w:ascii="Symbol" w:hAnsi="Symbol"/>
    </w:rPr>
  </w:style>
  <w:style w:type="character" w:customStyle="1" w:styleId="MenuOptions">
    <w:name w:val="Menu Options"/>
    <w:basedOn w:val="DefaultParagraphFont"/>
    <w:rsid w:val="00255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68"/>
    <w:rPr>
      <w:b/>
    </w:rPr>
  </w:style>
  <w:style w:type="character" w:customStyle="1" w:styleId="Underlined">
    <w:name w:val="Underlined"/>
    <w:basedOn w:val="DefaultParagraphFont"/>
    <w:rsid w:val="00255F68"/>
    <w:rPr>
      <w:u w:val="single"/>
    </w:rPr>
  </w:style>
  <w:style w:type="paragraph" w:customStyle="1" w:styleId="TableBodyTextRight">
    <w:name w:val="Table Body Text Right"/>
    <w:basedOn w:val="TableBodyText"/>
    <w:rsid w:val="00255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68"/>
    <w:rPr>
      <w:sz w:val="18"/>
    </w:rPr>
  </w:style>
  <w:style w:type="paragraph" w:customStyle="1" w:styleId="BodySmallRight">
    <w:name w:val="Body Small Right"/>
    <w:basedOn w:val="BodyTextRight"/>
    <w:rsid w:val="00255F68"/>
    <w:rPr>
      <w:sz w:val="18"/>
      <w:szCs w:val="18"/>
    </w:rPr>
  </w:style>
  <w:style w:type="paragraph" w:customStyle="1" w:styleId="MarginEdition">
    <w:name w:val="Margin Edition"/>
    <w:basedOn w:val="MarginNote"/>
    <w:rsid w:val="00255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68"/>
    <w:rPr>
      <w:sz w:val="2"/>
      <w:szCs w:val="2"/>
    </w:rPr>
  </w:style>
  <w:style w:type="character" w:customStyle="1" w:styleId="Small">
    <w:name w:val="Small"/>
    <w:basedOn w:val="DefaultParagraphFont"/>
    <w:rsid w:val="00255F68"/>
    <w:rPr>
      <w:sz w:val="16"/>
    </w:rPr>
  </w:style>
  <w:style w:type="paragraph" w:customStyle="1" w:styleId="WideTable">
    <w:name w:val="Wide Table"/>
    <w:basedOn w:val="Normal"/>
    <w:rsid w:val="00255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68"/>
  </w:style>
  <w:style w:type="paragraph" w:styleId="Quote">
    <w:name w:val="Quote"/>
    <w:basedOn w:val="Heading1"/>
    <w:link w:val="QuoteChar"/>
    <w:qFormat/>
    <w:rsid w:val="00255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68"/>
    <w:pPr>
      <w:pageBreakBefore/>
    </w:pPr>
  </w:style>
  <w:style w:type="paragraph" w:customStyle="1" w:styleId="Border">
    <w:name w:val="Border"/>
    <w:basedOn w:val="Normal"/>
    <w:qFormat/>
    <w:rsid w:val="00255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68"/>
    <w:rPr>
      <w:u w:val="single"/>
    </w:rPr>
  </w:style>
  <w:style w:type="character" w:customStyle="1" w:styleId="BoldandItalics">
    <w:name w:val="Bold and Italics"/>
    <w:qFormat/>
    <w:rsid w:val="00255F68"/>
    <w:rPr>
      <w:b/>
      <w:i/>
      <w:u w:val="none"/>
    </w:rPr>
  </w:style>
  <w:style w:type="paragraph" w:styleId="BalloonText">
    <w:name w:val="Balloon Text"/>
    <w:basedOn w:val="Normal"/>
    <w:link w:val="BalloonTextChar"/>
    <w:rsid w:val="00255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68"/>
    <w:pPr>
      <w:spacing w:before="0" w:after="0"/>
    </w:pPr>
  </w:style>
  <w:style w:type="paragraph" w:customStyle="1" w:styleId="BodyTextBold">
    <w:name w:val="Body Text Bold"/>
    <w:basedOn w:val="BodyText"/>
    <w:qFormat/>
    <w:rsid w:val="00255F68"/>
    <w:rPr>
      <w:b/>
    </w:rPr>
  </w:style>
  <w:style w:type="character" w:styleId="Hyperlink">
    <w:name w:val="Hyperlink"/>
    <w:basedOn w:val="DefaultParagraphFont"/>
    <w:uiPriority w:val="99"/>
    <w:unhideWhenUsed/>
    <w:rsid w:val="00F27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4809</Characters>
  <Application>Microsoft Office Word</Application>
  <DocSecurity>0</DocSecurity>
  <Lines>171</Lines>
  <Paragraphs>118</Paragraphs>
  <ScaleCrop>false</ScaleCrop>
  <Company>Author-it Software Corporation Ltd.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MEM20029 Develop and implement a master key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