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A43" w:rsidP="00B17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MEM20023 Assemble and test lock mechanisms</w:t>
      </w:r>
      <w:r>
        <w:fldChar w:fldCharType="end"/>
      </w:r>
    </w:p>
    <w:p w:rsidR="00B17A43" w:rsidP="00B17A43">
      <w:pPr>
        <w:pStyle w:val="Version"/>
        <w:sectPr w:rsidSect="00A56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983" w:rsidP="00A56983">
      <w:pPr>
        <w:pStyle w:val="SuperHeading"/>
      </w:pPr>
      <w:r w:rsidRPr="00A56983">
        <w:t>MEM20023 Assemble and test lock mechanisms</w:t>
      </w:r>
    </w:p>
    <w:p w:rsidR="00000000" w:rsidRPr="00A56983" w:rsidP="00A56983">
      <w:pPr>
        <w:pStyle w:val="Heading1"/>
      </w:pPr>
      <w:bookmarkStart w:id="1" w:name="O_1270200"/>
      <w:bookmarkEnd w:id="1"/>
      <w:r w:rsidRPr="00A56983">
        <w:t>Modification History</w:t>
      </w:r>
    </w:p>
    <w:p w:rsidR="00000000" w:rsidRPr="00A56983" w:rsidP="00B17A43">
      <w:pPr>
        <w:pStyle w:val="BodyText"/>
      </w:pPr>
      <w:r w:rsidRPr="00A56983">
        <w:t xml:space="preserve">Release 1. Supersedes and is equivalent to MEM20002 Assemble and test lock mechanisms. </w:t>
      </w:r>
    </w:p>
    <w:p w:rsidR="00000000" w:rsidRPr="00A56983" w:rsidP="00A56983">
      <w:pPr>
        <w:pStyle w:val="Heading1"/>
      </w:pPr>
      <w:bookmarkStart w:id="2" w:name="O_1270201"/>
      <w:bookmarkEnd w:id="2"/>
      <w:r w:rsidRPr="00A56983">
        <w:t>Application</w:t>
      </w:r>
    </w:p>
    <w:p w:rsidR="00000000" w:rsidRPr="00A56983" w:rsidP="00B17A43">
      <w:pPr>
        <w:pStyle w:val="BodyText"/>
      </w:pPr>
      <w:r w:rsidRPr="00A56983">
        <w:t>This unit of competency defines the skills and knowledge required to assemble and test lock mechanisms. Mechanisms a</w:t>
      </w:r>
      <w:r w:rsidRPr="00A56983">
        <w:t>re mechanical in nature and may be built to order, low volume or complex assemblies.</w:t>
      </w:r>
    </w:p>
    <w:p w:rsidR="00000000" w:rsidRPr="00A56983" w:rsidP="00B17A43">
      <w:pPr>
        <w:pStyle w:val="BodyText"/>
      </w:pPr>
      <w:r w:rsidRPr="00A56983">
        <w:t>This unit applies to assembly of lever locks and cylinders within a master key system or to individually keyed lever locks cylinders. It requires application of locksmithi</w:t>
      </w:r>
      <w:r w:rsidRPr="00A56983">
        <w:t>ng principles and practices.</w:t>
      </w:r>
    </w:p>
    <w:p w:rsidR="00000000" w:rsidRPr="00A56983" w:rsidP="00B17A43">
      <w:pPr>
        <w:pStyle w:val="BodyText"/>
      </w:pPr>
      <w:r w:rsidRPr="00A56983">
        <w:t>Where the selection and use of engineering measuring equipment is required unit MEM12023 Perform engineering measurements or unit MEM12003 Perform precision mechanical measurement should also be selected as appropriate.</w:t>
      </w:r>
    </w:p>
    <w:p w:rsidR="00000000" w:rsidRPr="00A56983" w:rsidP="00B17A43">
      <w:pPr>
        <w:pStyle w:val="BodyText"/>
      </w:pPr>
      <w:r w:rsidRPr="00A56983">
        <w:t>No lice</w:t>
      </w:r>
      <w:r w:rsidRPr="00A56983">
        <w:t>nsing, legislative or certification requirements apply to this unit at the time of publication.</w:t>
      </w:r>
    </w:p>
    <w:p w:rsidR="00000000" w:rsidRPr="00A56983" w:rsidP="00B17A43">
      <w:pPr>
        <w:pStyle w:val="Heading3"/>
      </w:pPr>
      <w:r w:rsidRPr="00A56983">
        <w:rPr>
          <w:rStyle w:val="SpecialBold"/>
        </w:rPr>
        <w:t>Band</w:t>
      </w:r>
      <w:r w:rsidRPr="00A56983">
        <w:t xml:space="preserve">: </w:t>
      </w:r>
      <w:r w:rsidRPr="00A56983">
        <w:rPr>
          <w:rStyle w:val="SpecialBold"/>
        </w:rPr>
        <w:t>A</w:t>
      </w:r>
    </w:p>
    <w:p w:rsidR="00000000" w:rsidRPr="00A56983" w:rsidP="00B17A43">
      <w:pPr>
        <w:pStyle w:val="Heading3"/>
      </w:pPr>
      <w:r w:rsidRPr="00A56983">
        <w:rPr>
          <w:rStyle w:val="SpecialBold"/>
        </w:rPr>
        <w:t>Unit Weight</w:t>
      </w:r>
      <w:r w:rsidRPr="00A56983">
        <w:t xml:space="preserve">: </w:t>
      </w:r>
      <w:r w:rsidRPr="00A56983">
        <w:rPr>
          <w:rStyle w:val="SpecialBold"/>
        </w:rPr>
        <w:t>6</w:t>
      </w:r>
    </w:p>
    <w:p w:rsidR="00000000" w:rsidRPr="00A56983" w:rsidP="00A56983">
      <w:pPr>
        <w:pStyle w:val="Heading1"/>
      </w:pPr>
      <w:bookmarkStart w:id="3" w:name="O_1270202"/>
      <w:bookmarkEnd w:id="3"/>
      <w:r w:rsidRPr="00A56983">
        <w:t>Pre-requisite Unit</w:t>
      </w:r>
    </w:p>
    <w:p w:rsidR="00000000" w:rsidRPr="00A56983" w:rsidP="00B17A43">
      <w:pPr>
        <w:pStyle w:val="List"/>
      </w:pPr>
      <w:r w:rsidRPr="00A56983">
        <w:t>MEM13015 Work safely and effectively in manufacturing and engineering</w:t>
      </w:r>
    </w:p>
    <w:p w:rsidR="00000000" w:rsidRPr="00A56983" w:rsidP="00B17A43">
      <w:pPr>
        <w:pStyle w:val="List"/>
      </w:pPr>
      <w:r w:rsidRPr="00A56983">
        <w:t>MEM16006 Organise and communi</w:t>
      </w:r>
      <w:r w:rsidRPr="00A56983">
        <w:t>cate information</w:t>
      </w:r>
    </w:p>
    <w:p w:rsidR="00000000" w:rsidRPr="00A56983" w:rsidP="00B17A43">
      <w:pPr>
        <w:pStyle w:val="List"/>
      </w:pPr>
      <w:r w:rsidRPr="00A56983">
        <w:t>MEM18001 Use hand tools</w:t>
      </w:r>
    </w:p>
    <w:p w:rsidR="00000000" w:rsidRPr="00A56983" w:rsidP="00A56983">
      <w:pPr>
        <w:pStyle w:val="AllowPageBreak"/>
      </w:pPr>
    </w:p>
    <w:p w:rsidR="00000000" w:rsidRPr="00A56983" w:rsidP="00A56983">
      <w:pPr>
        <w:pStyle w:val="Heading1"/>
      </w:pPr>
      <w:bookmarkStart w:id="4" w:name="O_1270203"/>
      <w:bookmarkEnd w:id="4"/>
      <w:r w:rsidRPr="00A56983">
        <w:t>Competency Field</w:t>
      </w:r>
    </w:p>
    <w:p w:rsidR="00000000" w:rsidRPr="00A56983" w:rsidP="00B17A43">
      <w:pPr>
        <w:pStyle w:val="BodyText"/>
      </w:pPr>
      <w:r w:rsidRPr="00A56983">
        <w:t>Locksmithing</w:t>
      </w:r>
    </w:p>
    <w:p w:rsidR="00000000" w:rsidRPr="00A56983" w:rsidP="00A56983">
      <w:pPr>
        <w:pStyle w:val="Heading1"/>
      </w:pPr>
      <w:bookmarkStart w:id="5" w:name="O_1270204"/>
      <w:bookmarkEnd w:id="5"/>
      <w:r w:rsidRPr="00A56983">
        <w:t>Unit Sector</w:t>
      </w:r>
    </w:p>
    <w:p w:rsidR="00000000" w:rsidRPr="00A56983" w:rsidP="00A56983">
      <w:pPr>
        <w:pStyle w:val="Heading1"/>
      </w:pPr>
      <w:bookmarkStart w:id="6" w:name="O_1270205"/>
      <w:bookmarkEnd w:id="6"/>
      <w:r w:rsidRPr="00A569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rPr>
                <w:rStyle w:val="SpecialBold"/>
              </w:rPr>
              <w:t>Performance Criteria</w:t>
            </w:r>
          </w:p>
        </w:tc>
      </w:tr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rPr>
                <w:rStyle w:val="Emphasis"/>
              </w:rPr>
              <w:t xml:space="preserve">Elements describe the </w:t>
            </w:r>
            <w:r w:rsidRPr="00A56983">
              <w:t xml:space="preserve">essential </w:t>
            </w:r>
            <w:r w:rsidRPr="00A5698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t>1.1 Follow standard operating procedures (SOPs)</w:t>
            </w:r>
          </w:p>
          <w:p w:rsidR="00000000" w:rsidRPr="00A56983" w:rsidP="00A56983">
            <w:pPr>
              <w:pStyle w:val="BodyText"/>
            </w:pPr>
            <w:r w:rsidRPr="00A56983">
              <w:t>1.2 Comply with work health and safety (WHS) requirements at all times</w:t>
            </w:r>
          </w:p>
          <w:p w:rsidR="00000000" w:rsidRPr="00A56983" w:rsidP="00A56983">
            <w:pPr>
              <w:pStyle w:val="BodyText"/>
            </w:pPr>
            <w:r w:rsidRPr="00A56983">
              <w:t>1.3 Use pe</w:t>
            </w:r>
            <w:r w:rsidRPr="00A56983">
              <w:t>rsonal protective equipment (PPE) in accordance with SOPs</w:t>
            </w:r>
          </w:p>
          <w:p w:rsidR="00000000" w:rsidRPr="00A56983" w:rsidP="00A56983">
            <w:pPr>
              <w:pStyle w:val="BodyText"/>
            </w:pPr>
            <w:r w:rsidRPr="00A56983">
              <w:t>1.4 Determine job requirements from specifications</w:t>
            </w:r>
          </w:p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1.5 Plan appropriate assembly sequence and method in accordance with specifications and SOPs</w:t>
            </w:r>
          </w:p>
        </w:tc>
      </w:tr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2. Prepare to assemble lock mechanisms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t>2.1 Select tools, equipment and materials to suit job requirements</w:t>
            </w:r>
          </w:p>
          <w:p w:rsidR="00000000" w:rsidRPr="00A56983" w:rsidP="00A56983">
            <w:pPr>
              <w:pStyle w:val="BodyText"/>
            </w:pPr>
            <w:r w:rsidRPr="00A56983">
              <w:t>2.2 Prepare work area and arrange components in accordance with SOPs and selected assembly technique</w:t>
            </w:r>
          </w:p>
          <w:p w:rsidR="00000000" w:rsidRPr="00A56983" w:rsidP="00A56983">
            <w:pPr>
              <w:pStyle w:val="BodyText"/>
            </w:pPr>
            <w:r w:rsidRPr="00A56983">
              <w:t>2.3 Disassemble and decode lock mechanisms in accordance with job requirements</w:t>
            </w:r>
          </w:p>
          <w:p w:rsidR="00000000" w:rsidRPr="00A56983" w:rsidP="00A56983">
            <w:pPr>
              <w:pStyle w:val="BodyText"/>
            </w:pPr>
            <w:r w:rsidRPr="00A56983">
              <w:t>2.4 Compi</w:t>
            </w:r>
            <w:r w:rsidRPr="00A56983">
              <w:t>le components and parts in accordance with assembly specifications</w:t>
            </w:r>
          </w:p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2.5 Identify defective or faulty parts and process in accordance with SOPs</w:t>
            </w:r>
          </w:p>
        </w:tc>
      </w:tr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3. Assemble lock mechanisms and decode assembled mechanisms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t>3.1 Identify locking mechanism using appropriate meth</w:t>
            </w:r>
            <w:r w:rsidRPr="00A56983">
              <w:t>ods in accordance with SOPs</w:t>
            </w:r>
          </w:p>
          <w:p w:rsidR="00000000" w:rsidRPr="00A56983" w:rsidP="00A56983">
            <w:pPr>
              <w:pStyle w:val="BodyText"/>
            </w:pPr>
            <w:r w:rsidRPr="00A56983">
              <w:t>3.2 Apply locksmithing techniques and principles suited to assembly activity</w:t>
            </w:r>
          </w:p>
          <w:p w:rsidR="00000000" w:rsidRPr="00A56983" w:rsidP="00A56983">
            <w:pPr>
              <w:pStyle w:val="BodyText"/>
            </w:pPr>
            <w:r w:rsidRPr="00A56983">
              <w:t>3.3 Maintain records or process in accordance with SOPs</w:t>
            </w:r>
          </w:p>
          <w:p w:rsidR="00000000" w:rsidRPr="00A56983" w:rsidP="00A56983">
            <w:pPr>
              <w:pStyle w:val="BodyText"/>
            </w:pPr>
            <w:r w:rsidRPr="00A56983">
              <w:t>3.4 Fit component parts to ensure correct positioning and conformance with specifications</w:t>
            </w:r>
          </w:p>
          <w:p w:rsidR="00000000" w:rsidRPr="00A56983" w:rsidP="00A56983">
            <w:pPr>
              <w:pStyle w:val="BodyText"/>
            </w:pPr>
            <w:r w:rsidRPr="00A56983">
              <w:t>3.5 H</w:t>
            </w:r>
            <w:r w:rsidRPr="00A56983">
              <w:t>andle and store components and/or assembly in a manner least likely to cause damage and in accordance with SOPs</w:t>
            </w:r>
          </w:p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3.6 Decode disassembled lock mechanism</w:t>
            </w:r>
          </w:p>
        </w:tc>
      </w:tr>
      <w:tr w:rsidTr="00B1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4. Check finished products and mark, package and label products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BodyText"/>
            </w:pPr>
            <w:r w:rsidRPr="00A56983">
              <w:t>4.1 Check operation of the lock mechanis</w:t>
            </w:r>
            <w:r w:rsidRPr="00A56983">
              <w:t>m and key for conformance to specifications</w:t>
            </w:r>
          </w:p>
          <w:p w:rsidR="00000000" w:rsidRPr="00A56983" w:rsidP="00A56983">
            <w:pPr>
              <w:pStyle w:val="BodyText"/>
            </w:pPr>
            <w:r w:rsidRPr="00A56983">
              <w:t>4.2 Identify and rectify faults in lock mechanism or key operation</w:t>
            </w:r>
          </w:p>
          <w:p w:rsidR="00000000" w:rsidRPr="00A56983" w:rsidP="00A56983">
            <w:pPr>
              <w:pStyle w:val="BodyText"/>
            </w:pPr>
            <w:r w:rsidRPr="00A56983">
              <w:t>4.3 Select marking equipment and mark products with correct door and key reference information in accordance with SOPs</w:t>
            </w:r>
          </w:p>
          <w:p w:rsidR="00000000" w:rsidRPr="00A56983" w:rsidP="00A56983">
            <w:pPr>
              <w:pStyle w:val="BodyText"/>
            </w:pPr>
            <w:r w:rsidRPr="00A56983">
              <w:t>4.4 Group, package and lab</w:t>
            </w:r>
            <w:r w:rsidRPr="00A56983">
              <w:t>el products for installation in accordance with SOPs</w:t>
            </w:r>
          </w:p>
        </w:tc>
      </w:tr>
    </w:tbl>
    <w:p w:rsidR="00000000" w:rsidRPr="00A56983" w:rsidP="00A56983">
      <w:pPr>
        <w:pStyle w:val="BodyText"/>
      </w:pPr>
    </w:p>
    <w:p w:rsidR="00000000" w:rsidRPr="00A56983" w:rsidP="00A56983">
      <w:pPr>
        <w:pStyle w:val="AllowPageBreak"/>
      </w:pPr>
    </w:p>
    <w:p w:rsidR="00000000" w:rsidRPr="00A56983" w:rsidP="00A56983">
      <w:pPr>
        <w:pStyle w:val="Heading1"/>
      </w:pPr>
      <w:bookmarkStart w:id="7" w:name="O_1270206"/>
      <w:bookmarkEnd w:id="7"/>
      <w:r w:rsidRPr="00A56983">
        <w:t>Foundation Skills</w:t>
      </w:r>
    </w:p>
    <w:p w:rsidR="00000000" w:rsidRPr="00A56983" w:rsidP="00B17A43">
      <w:pPr>
        <w:pStyle w:val="BodyText"/>
      </w:pPr>
      <w:r w:rsidRPr="00A56983">
        <w:t>This section describes those language, literacy, numeracy and employment skills that are essential to performance.</w:t>
      </w:r>
    </w:p>
    <w:p w:rsidR="00000000" w:rsidRPr="00A56983" w:rsidP="00B17A43">
      <w:pPr>
        <w:pStyle w:val="BodyText"/>
      </w:pPr>
      <w:r w:rsidRPr="00A56983">
        <w:t>Foundation skills essential to performance are explicit in the performance criteria of this unit of competency.</w:t>
      </w:r>
    </w:p>
    <w:p w:rsidR="00000000" w:rsidRPr="00A56983" w:rsidP="00A56983">
      <w:pPr>
        <w:pStyle w:val="Heading1"/>
      </w:pPr>
      <w:bookmarkStart w:id="8" w:name="O_1270207"/>
      <w:bookmarkEnd w:id="8"/>
      <w:r w:rsidRPr="00A56983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This field allows for different work environments and conditions that may affect performance. Essential o</w:t>
            </w:r>
            <w:r w:rsidRPr="00A56983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drawings</w:t>
            </w:r>
          </w:p>
          <w:p w:rsidR="00000000" w:rsidRPr="00A56983" w:rsidP="00A56983">
            <w:pPr>
              <w:pStyle w:val="ListBullet"/>
            </w:pPr>
            <w:r w:rsidRPr="00A56983">
              <w:t>job sheets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work instructions.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Assembly 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required components and parts</w:t>
            </w:r>
          </w:p>
          <w:p w:rsidR="00000000" w:rsidRPr="00A56983" w:rsidP="00A56983">
            <w:pPr>
              <w:pStyle w:val="ListBullet"/>
            </w:pPr>
            <w:r w:rsidRPr="00A56983">
              <w:t>door handing</w:t>
            </w:r>
          </w:p>
          <w:p w:rsidR="00000000" w:rsidRPr="00A56983" w:rsidP="00A56983">
            <w:pPr>
              <w:pStyle w:val="ListBullet"/>
            </w:pPr>
            <w:r w:rsidRPr="00A56983">
              <w:t>timeframe for completion</w:t>
            </w:r>
          </w:p>
          <w:p w:rsidR="00000000" w:rsidRPr="00A56983" w:rsidP="00A56983">
            <w:pPr>
              <w:pStyle w:val="ListBullet"/>
            </w:pPr>
            <w:r w:rsidRPr="00A56983">
              <w:t xml:space="preserve">keying instructions 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fitting requirements.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door and key schedules</w:t>
            </w:r>
          </w:p>
          <w:p w:rsidR="00000000" w:rsidRPr="00A56983" w:rsidP="00A56983">
            <w:pPr>
              <w:pStyle w:val="ListBullet"/>
            </w:pPr>
            <w:r w:rsidRPr="00A56983">
              <w:t>job sheet</w:t>
            </w:r>
          </w:p>
          <w:p w:rsidR="00000000" w:rsidRPr="00A56983" w:rsidP="00A56983">
            <w:pPr>
              <w:pStyle w:val="ListBullet"/>
            </w:pPr>
            <w:r w:rsidRPr="00A56983">
              <w:t>pinning charts</w:t>
            </w:r>
          </w:p>
          <w:p w:rsidR="00000000" w:rsidRPr="00A56983" w:rsidP="00A56983">
            <w:pPr>
              <w:pStyle w:val="ListBullet"/>
            </w:pPr>
            <w:r w:rsidRPr="00A56983">
              <w:t>hardware charts</w:t>
            </w:r>
          </w:p>
          <w:p w:rsidR="00000000" w:rsidRPr="00A56983" w:rsidP="00A56983">
            <w:pPr>
              <w:pStyle w:val="ListBullet"/>
            </w:pPr>
            <w:r w:rsidRPr="00A56983">
              <w:t>manufacturer documentation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manufacturer warranties.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Lock mechanisms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pin and disc tumbler cylinders</w:t>
            </w:r>
          </w:p>
          <w:p w:rsidR="00000000" w:rsidRPr="00A56983" w:rsidP="00A56983">
            <w:pPr>
              <w:pStyle w:val="ListBullet"/>
            </w:pPr>
            <w:r w:rsidRPr="00A56983">
              <w:t>wafer tumbler cylinders</w:t>
            </w:r>
          </w:p>
          <w:p w:rsidR="00000000" w:rsidRPr="00A56983" w:rsidP="00A56983">
            <w:pPr>
              <w:pStyle w:val="ListBullet"/>
            </w:pPr>
            <w:r w:rsidRPr="00A56983">
              <w:t>lever and warded locks</w:t>
            </w:r>
          </w:p>
          <w:p w:rsidR="00000000" w:rsidRPr="00A56983" w:rsidP="00A56983">
            <w:pPr>
              <w:pStyle w:val="ListBullet"/>
            </w:pPr>
            <w:r w:rsidRPr="00A56983">
              <w:t>rotating pin</w:t>
            </w:r>
          </w:p>
          <w:p w:rsidR="00000000" w:rsidRPr="00A56983" w:rsidP="00A56983">
            <w:pPr>
              <w:pStyle w:val="ListBullet"/>
            </w:pPr>
            <w:r w:rsidRPr="00A56983">
              <w:t>rotating disc</w:t>
            </w:r>
          </w:p>
          <w:p w:rsidR="00000000" w:rsidRPr="00A56983" w:rsidP="00A56983">
            <w:pPr>
              <w:pStyle w:val="ListBullet"/>
            </w:pPr>
            <w:r w:rsidRPr="00A56983">
              <w:t>axial pin (tubular)</w:t>
            </w:r>
          </w:p>
          <w:p w:rsidR="00000000" w:rsidRPr="00A56983" w:rsidP="00A56983">
            <w:pPr>
              <w:pStyle w:val="ListBullet"/>
            </w:pPr>
            <w:r w:rsidRPr="00A56983">
              <w:t>radial pin (dimple)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cruciform.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Components and parts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wafers</w:t>
            </w:r>
          </w:p>
          <w:p w:rsidR="00000000" w:rsidRPr="00A56983" w:rsidP="00A56983">
            <w:pPr>
              <w:pStyle w:val="ListBullet"/>
            </w:pPr>
            <w:r w:rsidRPr="00A56983">
              <w:t>pins</w:t>
            </w:r>
          </w:p>
          <w:p w:rsidR="00000000" w:rsidRPr="00A56983" w:rsidP="00A56983">
            <w:pPr>
              <w:pStyle w:val="ListBullet"/>
            </w:pPr>
            <w:r w:rsidRPr="00A56983">
              <w:t>discs</w:t>
            </w:r>
          </w:p>
          <w:p w:rsidR="00000000" w:rsidRPr="00A56983" w:rsidP="00A56983">
            <w:pPr>
              <w:pStyle w:val="ListBullet"/>
            </w:pPr>
            <w:r w:rsidRPr="00A56983">
              <w:t>levers</w:t>
            </w:r>
          </w:p>
          <w:p w:rsidR="00000000" w:rsidRPr="00A56983" w:rsidP="00A56983">
            <w:pPr>
              <w:pStyle w:val="ListBullet"/>
            </w:pPr>
            <w:r w:rsidRPr="00A56983">
              <w:t>springs</w:t>
            </w:r>
          </w:p>
          <w:p w:rsidR="00000000" w:rsidRPr="00A56983" w:rsidP="00A56983">
            <w:pPr>
              <w:pStyle w:val="ListBullet"/>
            </w:pPr>
            <w:r w:rsidRPr="00A56983">
              <w:t>key blanks</w:t>
            </w:r>
          </w:p>
          <w:p w:rsidR="00000000" w:rsidRPr="00A56983" w:rsidP="00A56983">
            <w:pPr>
              <w:pStyle w:val="ListBullet"/>
            </w:pPr>
            <w:r w:rsidRPr="00A56983">
              <w:t>barrels</w:t>
            </w:r>
          </w:p>
          <w:p w:rsidR="00000000" w:rsidRPr="00A56983" w:rsidP="00A56983">
            <w:pPr>
              <w:pStyle w:val="ListBullet"/>
            </w:pPr>
            <w:r w:rsidRPr="00A56983">
              <w:t>cylinder housings</w:t>
            </w:r>
          </w:p>
          <w:p w:rsidR="00000000" w:rsidRPr="00A56983" w:rsidP="00A56983">
            <w:pPr>
              <w:pStyle w:val="ListBullet"/>
            </w:pPr>
            <w:r w:rsidRPr="00A56983">
              <w:t>cams and screws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circlips and tails.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Tools and equipment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jigs</w:t>
            </w:r>
          </w:p>
          <w:p w:rsidR="00000000" w:rsidRPr="00A56983" w:rsidP="00A56983">
            <w:pPr>
              <w:pStyle w:val="ListBullet"/>
            </w:pPr>
            <w:r w:rsidRPr="00A56983">
              <w:t>followers</w:t>
            </w:r>
          </w:p>
          <w:p w:rsidR="00000000" w:rsidRPr="00A56983" w:rsidP="00A56983">
            <w:pPr>
              <w:pStyle w:val="ListBullet"/>
            </w:pPr>
            <w:r w:rsidRPr="00A56983">
              <w:t>tweezers</w:t>
            </w:r>
          </w:p>
          <w:p w:rsidR="00000000" w:rsidRPr="00A56983" w:rsidP="00A56983">
            <w:pPr>
              <w:pStyle w:val="ListBullet"/>
            </w:pPr>
            <w:r w:rsidRPr="00A56983">
              <w:t>screwdrivers</w:t>
            </w:r>
          </w:p>
          <w:p w:rsidR="00000000" w:rsidRPr="00A56983" w:rsidP="00A56983">
            <w:pPr>
              <w:pStyle w:val="ListBullet"/>
            </w:pPr>
            <w:r w:rsidRPr="00A56983">
              <w:t>circlip pliers</w:t>
            </w:r>
          </w:p>
          <w:p w:rsidR="00000000" w:rsidRPr="00A56983" w:rsidP="00A56983">
            <w:pPr>
              <w:pStyle w:val="ListBullet"/>
            </w:pPr>
            <w:r w:rsidRPr="00A56983">
              <w:t>files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wire wheel.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Materials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graphite powder</w:t>
            </w:r>
          </w:p>
          <w:p w:rsidR="00000000" w:rsidRPr="00A56983" w:rsidP="00A56983">
            <w:pPr>
              <w:pStyle w:val="ListBullet"/>
            </w:pPr>
            <w:r w:rsidRPr="00A56983">
              <w:t>graphite-based lubricants</w:t>
            </w:r>
          </w:p>
          <w:p w:rsidR="00000000" w:rsidRPr="00A56983" w:rsidP="00A56983">
            <w:pPr>
              <w:pStyle w:val="ListBullet"/>
            </w:pPr>
            <w:r w:rsidRPr="00A56983">
              <w:t xml:space="preserve">Teflon 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silicone-based lubricants.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Reference information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system member</w:t>
            </w:r>
          </w:p>
          <w:p w:rsidR="00000000" w:rsidRPr="00A56983" w:rsidP="00A56983">
            <w:pPr>
              <w:pStyle w:val="ListBullet"/>
            </w:pPr>
            <w:r w:rsidRPr="00A56983">
              <w:t>rank</w:t>
            </w:r>
          </w:p>
          <w:p w:rsidR="00000000" w:rsidRPr="00A56983" w:rsidP="00A56983">
            <w:pPr>
              <w:pStyle w:val="ListBullet"/>
            </w:pPr>
            <w:r w:rsidRPr="00A56983">
              <w:t>key issue</w:t>
            </w:r>
          </w:p>
          <w:p w:rsidR="00000000" w:rsidP="00A56983">
            <w:pPr>
              <w:pStyle w:val="ListBullet"/>
              <w:rPr>
                <w:lang w:val="en-NZ"/>
              </w:rPr>
            </w:pPr>
            <w:r w:rsidRPr="00A56983">
              <w:t>dealer identification.</w:t>
            </w:r>
          </w:p>
        </w:tc>
      </w:tr>
      <w:tr w:rsidTr="00A569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3">
            <w:pPr>
              <w:pStyle w:val="BodyText"/>
              <w:rPr>
                <w:lang w:val="en-NZ"/>
              </w:rPr>
            </w:pPr>
            <w:r w:rsidRPr="00A56983">
              <w:t>Stamping equipment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3" w:rsidP="00A56983">
            <w:pPr>
              <w:pStyle w:val="ListBullet"/>
            </w:pPr>
            <w:r w:rsidRPr="00A56983">
              <w:t>dedicated marking machine, either stamp or engrave</w:t>
            </w:r>
          </w:p>
          <w:p w:rsidR="00000000" w:rsidRPr="00A56983" w:rsidP="00A56983">
            <w:pPr>
              <w:pStyle w:val="ListBullet"/>
            </w:pPr>
            <w:r w:rsidRPr="00A56983">
              <w:t>hand stamps</w:t>
            </w:r>
          </w:p>
          <w:p w:rsidR="00000000" w:rsidRPr="00A56983" w:rsidP="00A56983">
            <w:pPr>
              <w:pStyle w:val="ListBullet"/>
            </w:pPr>
            <w:r w:rsidRPr="00A56983">
              <w:t>stamping block.</w:t>
            </w:r>
          </w:p>
        </w:tc>
      </w:tr>
    </w:tbl>
    <w:p w:rsidR="00000000" w:rsidRPr="00A56983" w:rsidP="00A56983">
      <w:pPr>
        <w:pStyle w:val="BodyText"/>
      </w:pPr>
    </w:p>
    <w:p w:rsidR="00000000" w:rsidRPr="00A56983" w:rsidP="00A56983">
      <w:pPr>
        <w:pStyle w:val="AllowPageBreak"/>
      </w:pPr>
    </w:p>
    <w:p w:rsidR="00000000" w:rsidRPr="00A56983" w:rsidP="00A56983">
      <w:pPr>
        <w:pStyle w:val="Heading1"/>
      </w:pPr>
      <w:bookmarkStart w:id="9" w:name="O_1270208"/>
      <w:bookmarkEnd w:id="9"/>
      <w:r w:rsidRPr="00A56983">
        <w:t>Unit Mapping Information</w:t>
      </w:r>
    </w:p>
    <w:p w:rsidR="00000000" w:rsidRPr="00A56983" w:rsidP="00B17A43">
      <w:pPr>
        <w:pStyle w:val="BodyText"/>
      </w:pPr>
      <w:r w:rsidRPr="00A56983">
        <w:t>Release 1. Supersedes and is equivalent to MEM20002 Assemble and test lock mechanisms.</w:t>
      </w:r>
    </w:p>
    <w:p w:rsidR="00000000" w:rsidRPr="00A56983" w:rsidP="00A56983">
      <w:pPr>
        <w:pStyle w:val="Heading1"/>
      </w:pPr>
      <w:bookmarkStart w:id="10" w:name="O_1270215"/>
      <w:bookmarkEnd w:id="10"/>
      <w:r w:rsidRPr="00A56983">
        <w:t>Links</w:t>
      </w:r>
    </w:p>
    <w:p w:rsidR="00000000" w:rsidRPr="00A56983" w:rsidP="00B17A43">
      <w:pPr>
        <w:pStyle w:val="BodyText"/>
      </w:pPr>
      <w:r w:rsidRPr="00A569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6F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6983" w:rsidP="00A56983"/>
    <w:sectPr w:rsidSect="00A569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3" w:rsidRPr="00B17A43" w:rsidP="00B17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43" w:rsidP="00A56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A43" w:rsidP="00A56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7A43" w:rsidP="00A56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983" w:rsidRPr="00B17A43" w:rsidP="00B17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43" w:rsidRPr="002D2AF8" w:rsidP="00A56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MEM20023 Assemble and test lock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7A43" w:rsidP="00A56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567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4B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983"/>
  </w:style>
  <w:style w:type="character" w:customStyle="1" w:styleId="Heading1Char">
    <w:name w:val="Heading 1 Char"/>
    <w:basedOn w:val="DefaultParagraphFont"/>
    <w:link w:val="Heading1"/>
    <w:rsid w:val="00A56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9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9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983"/>
    <w:rPr>
      <w:b/>
      <w:spacing w:val="0"/>
    </w:rPr>
  </w:style>
  <w:style w:type="character" w:styleId="Emphasis">
    <w:name w:val="Emphasis"/>
    <w:basedOn w:val="DefaultParagraphFont"/>
    <w:qFormat/>
    <w:rsid w:val="00A56983"/>
    <w:rPr>
      <w:i/>
    </w:rPr>
  </w:style>
  <w:style w:type="paragraph" w:customStyle="1" w:styleId="SuperHeading">
    <w:name w:val="SuperHeading"/>
    <w:basedOn w:val="Normal"/>
    <w:rsid w:val="00A56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9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9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9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9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983"/>
  </w:style>
  <w:style w:type="paragraph" w:styleId="TableofFigures">
    <w:name w:val="table of figures"/>
    <w:basedOn w:val="Normal"/>
    <w:next w:val="Normal"/>
    <w:semiHidden/>
    <w:rsid w:val="00A56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9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983"/>
    <w:rPr>
      <w:rFonts w:ascii="Wingdings" w:hAnsi="Wingdings"/>
    </w:rPr>
  </w:style>
  <w:style w:type="paragraph" w:customStyle="1" w:styleId="TableHeading">
    <w:name w:val="Table Heading"/>
    <w:basedOn w:val="HeadingBase"/>
    <w:rsid w:val="00A56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983"/>
    <w:rPr>
      <w:color w:val="0033CC"/>
      <w:u w:val="none"/>
    </w:rPr>
  </w:style>
  <w:style w:type="paragraph" w:customStyle="1" w:styleId="BodyTextRight">
    <w:name w:val="Body Text Right"/>
    <w:basedOn w:val="BodyText"/>
    <w:rsid w:val="00A56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9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983"/>
    <w:rPr>
      <w:sz w:val="32"/>
    </w:rPr>
  </w:style>
  <w:style w:type="paragraph" w:customStyle="1" w:styleId="HeadingProcedure">
    <w:name w:val="Heading Procedure"/>
    <w:basedOn w:val="HeadingBase"/>
    <w:next w:val="Normal"/>
    <w:rsid w:val="00A56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983"/>
    <w:pPr>
      <w:spacing w:before="60" w:after="60"/>
    </w:pPr>
  </w:style>
  <w:style w:type="paragraph" w:styleId="ListContinue">
    <w:name w:val="List Continue"/>
    <w:basedOn w:val="List"/>
    <w:rsid w:val="00A56983"/>
    <w:pPr>
      <w:ind w:firstLine="0"/>
    </w:pPr>
  </w:style>
  <w:style w:type="paragraph" w:customStyle="1" w:styleId="ListNote">
    <w:name w:val="List Note"/>
    <w:basedOn w:val="List"/>
    <w:rsid w:val="00A56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983"/>
    <w:rPr>
      <w:rFonts w:ascii="Courier New" w:hAnsi="Courier New"/>
    </w:rPr>
  </w:style>
  <w:style w:type="paragraph" w:customStyle="1" w:styleId="NoteBullet">
    <w:name w:val="Note Bullet"/>
    <w:basedOn w:val="Note"/>
    <w:rsid w:val="00A56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9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983"/>
    <w:rPr>
      <w:b/>
      <w:smallCaps/>
    </w:rPr>
  </w:style>
  <w:style w:type="paragraph" w:customStyle="1" w:styleId="TableListNumber">
    <w:name w:val="Table List Number"/>
    <w:basedOn w:val="ListNumber"/>
    <w:rsid w:val="00A56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983"/>
    <w:pPr>
      <w:numPr>
        <w:numId w:val="8"/>
      </w:numPr>
    </w:pPr>
  </w:style>
  <w:style w:type="paragraph" w:customStyle="1" w:styleId="ListAlpha2">
    <w:name w:val="List Alpha 2"/>
    <w:basedOn w:val="List2"/>
    <w:rsid w:val="00A56983"/>
    <w:pPr>
      <w:numPr>
        <w:numId w:val="7"/>
      </w:numPr>
    </w:pPr>
  </w:style>
  <w:style w:type="paragraph" w:styleId="List2">
    <w:name w:val="List 2"/>
    <w:basedOn w:val="BodyText"/>
    <w:rsid w:val="00A56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9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9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9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983"/>
    <w:pPr>
      <w:numPr>
        <w:numId w:val="3"/>
      </w:numPr>
    </w:pPr>
  </w:style>
  <w:style w:type="paragraph" w:styleId="ListContinue2">
    <w:name w:val="List Continue 2"/>
    <w:basedOn w:val="List2"/>
    <w:rsid w:val="00A56983"/>
    <w:pPr>
      <w:ind w:firstLine="0"/>
    </w:pPr>
  </w:style>
  <w:style w:type="paragraph" w:styleId="ListContinue3">
    <w:name w:val="List Continue 3"/>
    <w:basedOn w:val="List3"/>
    <w:rsid w:val="00A56983"/>
    <w:pPr>
      <w:ind w:left="1021" w:firstLine="0"/>
    </w:pPr>
  </w:style>
  <w:style w:type="paragraph" w:styleId="ListContinue4">
    <w:name w:val="List Continue 4"/>
    <w:basedOn w:val="List4"/>
    <w:rsid w:val="00A56983"/>
    <w:pPr>
      <w:ind w:firstLine="0"/>
    </w:pPr>
  </w:style>
  <w:style w:type="paragraph" w:styleId="ListContinue5">
    <w:name w:val="List Continue 5"/>
    <w:basedOn w:val="List5"/>
    <w:rsid w:val="00A56983"/>
    <w:pPr>
      <w:ind w:firstLine="0"/>
    </w:pPr>
  </w:style>
  <w:style w:type="paragraph" w:styleId="ListNumber3">
    <w:name w:val="List Number 3"/>
    <w:basedOn w:val="List3"/>
    <w:rsid w:val="00A56983"/>
    <w:pPr>
      <w:numPr>
        <w:numId w:val="4"/>
      </w:numPr>
    </w:pPr>
  </w:style>
  <w:style w:type="paragraph" w:styleId="ListNumber4">
    <w:name w:val="List Number 4"/>
    <w:basedOn w:val="List4"/>
    <w:rsid w:val="00A56983"/>
    <w:pPr>
      <w:numPr>
        <w:numId w:val="5"/>
      </w:numPr>
    </w:pPr>
  </w:style>
  <w:style w:type="paragraph" w:styleId="ListNumber5">
    <w:name w:val="List Number 5"/>
    <w:basedOn w:val="List5"/>
    <w:rsid w:val="00A56983"/>
    <w:pPr>
      <w:numPr>
        <w:numId w:val="6"/>
      </w:numPr>
    </w:pPr>
  </w:style>
  <w:style w:type="paragraph" w:styleId="BlockText">
    <w:name w:val="Block Text"/>
    <w:basedOn w:val="Normal"/>
    <w:rsid w:val="00A56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983"/>
    <w:rPr>
      <w:sz w:val="16"/>
      <w:vertAlign w:val="superscript"/>
    </w:rPr>
  </w:style>
  <w:style w:type="character" w:customStyle="1" w:styleId="Symbols">
    <w:name w:val="Symbols"/>
    <w:basedOn w:val="DefaultParagraphFont"/>
    <w:rsid w:val="00A56983"/>
    <w:rPr>
      <w:rFonts w:ascii="Symbol" w:hAnsi="Symbol"/>
    </w:rPr>
  </w:style>
  <w:style w:type="character" w:customStyle="1" w:styleId="MenuOptions">
    <w:name w:val="Menu Options"/>
    <w:basedOn w:val="DefaultParagraphFont"/>
    <w:rsid w:val="00A56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983"/>
    <w:rPr>
      <w:b/>
    </w:rPr>
  </w:style>
  <w:style w:type="character" w:customStyle="1" w:styleId="Underlined">
    <w:name w:val="Underlined"/>
    <w:basedOn w:val="DefaultParagraphFont"/>
    <w:rsid w:val="00A56983"/>
    <w:rPr>
      <w:u w:val="single"/>
    </w:rPr>
  </w:style>
  <w:style w:type="paragraph" w:customStyle="1" w:styleId="TableBodyTextRight">
    <w:name w:val="Table Body Text Right"/>
    <w:basedOn w:val="TableBodyText"/>
    <w:rsid w:val="00A56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983"/>
    <w:rPr>
      <w:sz w:val="18"/>
    </w:rPr>
  </w:style>
  <w:style w:type="paragraph" w:customStyle="1" w:styleId="BodySmallRight">
    <w:name w:val="Body Small Right"/>
    <w:basedOn w:val="BodyTextRight"/>
    <w:rsid w:val="00A56983"/>
    <w:rPr>
      <w:sz w:val="18"/>
      <w:szCs w:val="18"/>
    </w:rPr>
  </w:style>
  <w:style w:type="paragraph" w:customStyle="1" w:styleId="MarginEdition">
    <w:name w:val="Margin Edition"/>
    <w:basedOn w:val="MarginNote"/>
    <w:rsid w:val="00A56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983"/>
    <w:rPr>
      <w:sz w:val="2"/>
      <w:szCs w:val="2"/>
    </w:rPr>
  </w:style>
  <w:style w:type="character" w:customStyle="1" w:styleId="Small">
    <w:name w:val="Small"/>
    <w:basedOn w:val="DefaultParagraphFont"/>
    <w:rsid w:val="00A56983"/>
    <w:rPr>
      <w:sz w:val="16"/>
    </w:rPr>
  </w:style>
  <w:style w:type="paragraph" w:customStyle="1" w:styleId="WideTable">
    <w:name w:val="Wide Table"/>
    <w:basedOn w:val="Normal"/>
    <w:rsid w:val="00A56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983"/>
  </w:style>
  <w:style w:type="paragraph" w:styleId="Quote">
    <w:name w:val="Quote"/>
    <w:basedOn w:val="Heading1"/>
    <w:link w:val="QuoteChar"/>
    <w:qFormat/>
    <w:rsid w:val="00A56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983"/>
    <w:pPr>
      <w:pageBreakBefore/>
    </w:pPr>
  </w:style>
  <w:style w:type="paragraph" w:customStyle="1" w:styleId="Border">
    <w:name w:val="Border"/>
    <w:basedOn w:val="Normal"/>
    <w:qFormat/>
    <w:rsid w:val="00A56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983"/>
    <w:rPr>
      <w:u w:val="single"/>
    </w:rPr>
  </w:style>
  <w:style w:type="character" w:customStyle="1" w:styleId="BoldandItalics">
    <w:name w:val="Bold and Italics"/>
    <w:qFormat/>
    <w:rsid w:val="00A56983"/>
    <w:rPr>
      <w:b/>
      <w:i/>
      <w:u w:val="none"/>
    </w:rPr>
  </w:style>
  <w:style w:type="paragraph" w:styleId="BalloonText">
    <w:name w:val="Balloon Text"/>
    <w:basedOn w:val="Normal"/>
    <w:link w:val="BalloonTextChar"/>
    <w:rsid w:val="00A56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983"/>
    <w:pPr>
      <w:spacing w:before="0" w:after="0"/>
    </w:pPr>
  </w:style>
  <w:style w:type="paragraph" w:customStyle="1" w:styleId="BodyTextBold">
    <w:name w:val="Body Text Bold"/>
    <w:basedOn w:val="BodyText"/>
    <w:qFormat/>
    <w:rsid w:val="00A56983"/>
    <w:rPr>
      <w:b/>
    </w:rPr>
  </w:style>
  <w:style w:type="character" w:styleId="Hyperlink">
    <w:name w:val="Hyperlink"/>
    <w:basedOn w:val="DefaultParagraphFont"/>
    <w:uiPriority w:val="99"/>
    <w:unhideWhenUsed/>
    <w:rsid w:val="00B17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4665</Characters>
  <Application>Microsoft Office Word</Application>
  <DocSecurity>0</DocSecurity>
  <Lines>194</Lines>
  <Paragraphs>135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MEM20023 Assemble and test lock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