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733A" w:rsidP="0075733A">
      <w:pPr>
        <w:pStyle w:val="Title"/>
      </w:pPr>
      <w:r>
        <w:fldChar w:fldCharType="begin"/>
      </w:r>
      <w:r>
        <w:instrText xml:space="preserve"> TITLE   \* MERGEFORMAT </w:instrText>
      </w:r>
      <w:r>
        <w:fldChar w:fldCharType="separate"/>
      </w:r>
      <w:r>
        <w:t>MEM20011 Service and repair fire and security containers</w:t>
      </w:r>
      <w:r>
        <w:fldChar w:fldCharType="end"/>
      </w:r>
    </w:p>
    <w:p w:rsidR="0075733A" w:rsidP="0075733A">
      <w:pPr>
        <w:pStyle w:val="Version"/>
        <w:sectPr w:rsidSect="00F4340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3402" w:rsidP="00F43402">
      <w:pPr>
        <w:pStyle w:val="SuperHeading"/>
      </w:pPr>
      <w:r w:rsidRPr="00F43402">
        <w:t>MEM20011 Service and repair fire and security containers</w:t>
      </w:r>
    </w:p>
    <w:p w:rsidR="00000000" w:rsidRPr="00F43402" w:rsidP="00F43402">
      <w:pPr>
        <w:pStyle w:val="Heading1"/>
      </w:pPr>
      <w:bookmarkStart w:id="1" w:name="O_951046"/>
      <w:bookmarkEnd w:id="1"/>
      <w:r w:rsidRPr="00F43402">
        <w:t>Modification History</w:t>
      </w:r>
    </w:p>
    <w:p w:rsidR="00000000" w:rsidRPr="00F43402" w:rsidP="0075733A">
      <w:pPr>
        <w:pStyle w:val="BodyText"/>
      </w:pPr>
      <w:r w:rsidRPr="00F43402">
        <w:t xml:space="preserve">Release 1. Supersedes and is equivalent to MEM20011A Service and repair fire and security containers </w:t>
      </w:r>
    </w:p>
    <w:p w:rsidR="00000000" w:rsidRPr="00F43402" w:rsidP="00F43402">
      <w:pPr>
        <w:pStyle w:val="Heading1"/>
      </w:pPr>
      <w:bookmarkStart w:id="2" w:name="O_951054"/>
      <w:bookmarkEnd w:id="2"/>
      <w:r w:rsidRPr="00F43402">
        <w:t>Application</w:t>
      </w:r>
    </w:p>
    <w:p w:rsidR="00000000" w:rsidRPr="00F43402" w:rsidP="0075733A">
      <w:pPr>
        <w:pStyle w:val="BodyText"/>
      </w:pPr>
      <w:r w:rsidRPr="00F43402">
        <w:t>This unit of competency defines the skills and knowledge required to dismantle, inspect,</w:t>
      </w:r>
      <w:r w:rsidRPr="00F43402">
        <w:t xml:space="preserve"> repair, replace, service and assemble fire and security safes or containers and their components. It applies to service and repair work on commercial and domestic fire and security containers and can apply to regular servicing or call-out work and also be</w:t>
      </w:r>
      <w:r w:rsidRPr="00F43402">
        <w:t xml:space="preserve"> required after entry has been gained.</w:t>
      </w:r>
    </w:p>
    <w:p w:rsidR="00000000" w:rsidRPr="00F43402" w:rsidP="0075733A">
      <w:pPr>
        <w:pStyle w:val="BodyText"/>
      </w:pPr>
      <w:r w:rsidRPr="00F43402">
        <w:t>Where interpretation of detailed, complex manufacturer information and specifications is required unit MEM16012 Interpret technical specifications and manuals should also be selected.</w:t>
      </w:r>
    </w:p>
    <w:p w:rsidR="00000000" w:rsidRPr="00F43402" w:rsidP="0075733A">
      <w:pPr>
        <w:pStyle w:val="BodyText"/>
      </w:pPr>
      <w:r w:rsidRPr="00F43402">
        <w:t>Where gaining entry and reinsta</w:t>
      </w:r>
      <w:r w:rsidRPr="00F43402">
        <w:t>tement by straightforward replacement of existing or replacement parts is required unit MEM20009 Gain entry and reinstate fire and security containers should also be selected.</w:t>
      </w:r>
    </w:p>
    <w:p w:rsidR="00000000" w:rsidRPr="00F43402" w:rsidP="0075733A">
      <w:pPr>
        <w:pStyle w:val="BodyText"/>
      </w:pPr>
      <w:r w:rsidRPr="00F43402">
        <w:t>Where welding skills are required appropriate units should also be selected.</w:t>
      </w:r>
    </w:p>
    <w:p w:rsidR="00000000" w:rsidRPr="00F43402" w:rsidP="0075733A">
      <w:pPr>
        <w:pStyle w:val="BodyText"/>
      </w:pPr>
      <w:r w:rsidRPr="00F43402">
        <w:t>N</w:t>
      </w:r>
      <w:r w:rsidRPr="00F43402">
        <w:t xml:space="preserve">o licensing, legislative or certification requirements apply to this unit at the time of publication. </w:t>
      </w:r>
    </w:p>
    <w:p w:rsidR="00000000" w:rsidRPr="00F43402" w:rsidP="0075733A">
      <w:pPr>
        <w:pStyle w:val="Heading3"/>
      </w:pPr>
      <w:r w:rsidRPr="00F43402">
        <w:rPr>
          <w:rStyle w:val="SpecialBold"/>
        </w:rPr>
        <w:t>Band:</w:t>
      </w:r>
    </w:p>
    <w:p w:rsidR="00000000" w:rsidRPr="00F43402" w:rsidP="0075733A">
      <w:pPr>
        <w:pStyle w:val="BodyText"/>
      </w:pPr>
      <w:r w:rsidRPr="00F43402">
        <w:t>This unit has dual status and is to be regarded as both a Specialisation Band A unit and Specialisation Band B unit for progression to C5 (AQF lev</w:t>
      </w:r>
      <w:r w:rsidRPr="00F43402">
        <w:t>el V).</w:t>
      </w:r>
    </w:p>
    <w:p w:rsidR="00000000" w:rsidRPr="00F43402" w:rsidP="0075733A">
      <w:pPr>
        <w:pStyle w:val="Heading3"/>
      </w:pPr>
      <w:r w:rsidRPr="00F43402">
        <w:rPr>
          <w:rStyle w:val="SpecialBold"/>
        </w:rPr>
        <w:t>Unit Weight</w:t>
      </w:r>
      <w:r w:rsidRPr="00F43402">
        <w:t>:</w:t>
      </w:r>
      <w:r w:rsidRPr="00F43402">
        <w:tab/>
      </w:r>
      <w:r w:rsidRPr="00F43402">
        <w:rPr>
          <w:rStyle w:val="SpecialBold"/>
        </w:rPr>
        <w:t>6</w:t>
      </w:r>
    </w:p>
    <w:p w:rsidR="00000000" w:rsidRPr="00F43402" w:rsidP="00F43402">
      <w:pPr>
        <w:pStyle w:val="Heading1"/>
      </w:pPr>
      <w:bookmarkStart w:id="3" w:name="O_951053"/>
      <w:bookmarkEnd w:id="3"/>
      <w:r w:rsidRPr="00F43402">
        <w:t>Pre-requisite Unit</w:t>
      </w:r>
    </w:p>
    <w:tbl>
      <w:tblPr>
        <w:tblW w:w="0" w:type="auto"/>
        <w:tblLayout w:type="fixed"/>
        <w:tblCellMar>
          <w:left w:w="62" w:type="dxa"/>
          <w:right w:w="62" w:type="dxa"/>
        </w:tblCellMar>
        <w:tblLook w:val="0000"/>
      </w:tblPr>
      <w:tblGrid>
        <w:gridCol w:w="2186"/>
        <w:gridCol w:w="6886"/>
      </w:tblGrid>
      <w:tr w:rsidTr="00F43402">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F43402">
            <w:pPr>
              <w:pStyle w:val="BodyText"/>
              <w:rPr>
                <w:lang w:val="en-NZ"/>
              </w:rPr>
            </w:pPr>
            <w:r w:rsidRPr="00F43402">
              <w:t>MEM11011</w:t>
            </w:r>
          </w:p>
        </w:tc>
        <w:tc>
          <w:tcPr>
            <w:tcW w:w="6886" w:type="dxa"/>
            <w:tcBorders>
              <w:top w:val="nil"/>
              <w:left w:val="nil"/>
              <w:bottom w:val="nil"/>
              <w:right w:val="nil"/>
            </w:tcBorders>
            <w:tcMar>
              <w:top w:w="0" w:type="dxa"/>
              <w:left w:w="62" w:type="dxa"/>
              <w:bottom w:w="0" w:type="dxa"/>
              <w:right w:w="62" w:type="dxa"/>
            </w:tcMar>
          </w:tcPr>
          <w:p w:rsidR="00000000" w:rsidP="00F43402">
            <w:pPr>
              <w:pStyle w:val="BodyText"/>
              <w:rPr>
                <w:lang w:val="en-NZ"/>
              </w:rPr>
            </w:pPr>
            <w:r w:rsidRPr="00F43402">
              <w:t>Undertake manual handling</w:t>
            </w:r>
          </w:p>
        </w:tc>
      </w:tr>
      <w:tr w:rsidTr="00F43402">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F43402">
            <w:pPr>
              <w:pStyle w:val="BodyText"/>
              <w:rPr>
                <w:lang w:val="en-NZ"/>
              </w:rPr>
            </w:pPr>
            <w:r w:rsidRPr="00F43402">
              <w:t>MEM13015</w:t>
            </w:r>
          </w:p>
        </w:tc>
        <w:tc>
          <w:tcPr>
            <w:tcW w:w="6886" w:type="dxa"/>
            <w:tcBorders>
              <w:top w:val="nil"/>
              <w:left w:val="nil"/>
              <w:bottom w:val="nil"/>
              <w:right w:val="nil"/>
            </w:tcBorders>
            <w:tcMar>
              <w:top w:w="0" w:type="dxa"/>
              <w:left w:w="62" w:type="dxa"/>
              <w:bottom w:w="0" w:type="dxa"/>
              <w:right w:w="62" w:type="dxa"/>
            </w:tcMar>
          </w:tcPr>
          <w:p w:rsidR="00000000" w:rsidP="00F43402">
            <w:pPr>
              <w:pStyle w:val="BodyText"/>
              <w:rPr>
                <w:lang w:val="en-NZ"/>
              </w:rPr>
            </w:pPr>
            <w:r w:rsidRPr="00F43402">
              <w:t>Work safely and effectively in manufacturing and engineering</w:t>
            </w:r>
          </w:p>
        </w:tc>
      </w:tr>
      <w:tr w:rsidTr="00F43402">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F43402">
            <w:pPr>
              <w:pStyle w:val="BodyText"/>
              <w:rPr>
                <w:lang w:val="en-NZ"/>
              </w:rPr>
            </w:pPr>
            <w:r w:rsidRPr="00F43402">
              <w:t>MEM16006</w:t>
            </w:r>
          </w:p>
        </w:tc>
        <w:tc>
          <w:tcPr>
            <w:tcW w:w="6886" w:type="dxa"/>
            <w:tcBorders>
              <w:top w:val="nil"/>
              <w:left w:val="nil"/>
              <w:bottom w:val="nil"/>
              <w:right w:val="nil"/>
            </w:tcBorders>
            <w:tcMar>
              <w:top w:w="0" w:type="dxa"/>
              <w:left w:w="62" w:type="dxa"/>
              <w:bottom w:w="0" w:type="dxa"/>
              <w:right w:w="62" w:type="dxa"/>
            </w:tcMar>
          </w:tcPr>
          <w:p w:rsidR="00000000" w:rsidP="00F43402">
            <w:pPr>
              <w:pStyle w:val="BodyText"/>
              <w:rPr>
                <w:lang w:val="en-NZ"/>
              </w:rPr>
            </w:pPr>
            <w:r w:rsidRPr="00F43402">
              <w:t>Organise and communicate information</w:t>
            </w:r>
          </w:p>
        </w:tc>
      </w:tr>
      <w:tr w:rsidTr="00F43402">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F43402">
            <w:pPr>
              <w:pStyle w:val="BodyText"/>
              <w:rPr>
                <w:lang w:val="en-NZ"/>
              </w:rPr>
            </w:pPr>
            <w:r w:rsidRPr="00F43402">
              <w:t>MEM18001</w:t>
            </w:r>
          </w:p>
        </w:tc>
        <w:tc>
          <w:tcPr>
            <w:tcW w:w="6886" w:type="dxa"/>
            <w:tcBorders>
              <w:top w:val="nil"/>
              <w:left w:val="nil"/>
              <w:bottom w:val="nil"/>
              <w:right w:val="nil"/>
            </w:tcBorders>
            <w:tcMar>
              <w:top w:w="0" w:type="dxa"/>
              <w:left w:w="62" w:type="dxa"/>
              <w:bottom w:w="0" w:type="dxa"/>
              <w:right w:w="62" w:type="dxa"/>
            </w:tcMar>
          </w:tcPr>
          <w:p w:rsidR="00000000" w:rsidP="00F43402">
            <w:pPr>
              <w:pStyle w:val="BodyText"/>
              <w:rPr>
                <w:lang w:val="en-NZ"/>
              </w:rPr>
            </w:pPr>
            <w:r w:rsidRPr="00F43402">
              <w:t>Use hand tools</w:t>
            </w:r>
          </w:p>
        </w:tc>
      </w:tr>
      <w:tr w:rsidTr="00F43402">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F43402">
            <w:pPr>
              <w:pStyle w:val="BodyText"/>
              <w:rPr>
                <w:lang w:val="en-NZ"/>
              </w:rPr>
            </w:pPr>
            <w:r w:rsidRPr="00F43402">
              <w:t>MEM18002</w:t>
            </w:r>
          </w:p>
        </w:tc>
        <w:tc>
          <w:tcPr>
            <w:tcW w:w="6886" w:type="dxa"/>
            <w:tcBorders>
              <w:top w:val="nil"/>
              <w:left w:val="nil"/>
              <w:bottom w:val="nil"/>
              <w:right w:val="nil"/>
            </w:tcBorders>
            <w:tcMar>
              <w:top w:w="0" w:type="dxa"/>
              <w:left w:w="62" w:type="dxa"/>
              <w:bottom w:w="0" w:type="dxa"/>
              <w:right w:w="62" w:type="dxa"/>
            </w:tcMar>
          </w:tcPr>
          <w:p w:rsidR="00000000" w:rsidP="00F43402">
            <w:pPr>
              <w:pStyle w:val="BodyText"/>
              <w:rPr>
                <w:lang w:val="en-NZ"/>
              </w:rPr>
            </w:pPr>
            <w:r w:rsidRPr="00F43402">
              <w:t>Use power tools/hand held operations</w:t>
            </w:r>
          </w:p>
        </w:tc>
      </w:tr>
      <w:tr w:rsidTr="00F43402">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F43402">
            <w:pPr>
              <w:pStyle w:val="BodyText"/>
              <w:rPr>
                <w:lang w:val="en-NZ"/>
              </w:rPr>
            </w:pPr>
            <w:r w:rsidRPr="00F43402">
              <w:t>MEM20001</w:t>
            </w:r>
          </w:p>
        </w:tc>
        <w:tc>
          <w:tcPr>
            <w:tcW w:w="6886" w:type="dxa"/>
            <w:tcBorders>
              <w:top w:val="nil"/>
              <w:left w:val="nil"/>
              <w:bottom w:val="nil"/>
              <w:right w:val="nil"/>
            </w:tcBorders>
            <w:tcMar>
              <w:top w:w="0" w:type="dxa"/>
              <w:left w:w="62" w:type="dxa"/>
              <w:bottom w:w="0" w:type="dxa"/>
              <w:right w:w="62" w:type="dxa"/>
            </w:tcMar>
          </w:tcPr>
          <w:p w:rsidR="00000000" w:rsidP="00F43402">
            <w:pPr>
              <w:pStyle w:val="BodyText"/>
              <w:rPr>
                <w:lang w:val="en-NZ"/>
              </w:rPr>
            </w:pPr>
            <w:r w:rsidRPr="00F43402">
              <w:t>Produce keys</w:t>
            </w:r>
          </w:p>
        </w:tc>
      </w:tr>
      <w:tr w:rsidTr="00F43402">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F43402">
            <w:pPr>
              <w:pStyle w:val="BodyText"/>
              <w:rPr>
                <w:lang w:val="en-NZ"/>
              </w:rPr>
            </w:pPr>
            <w:r w:rsidRPr="00F43402">
              <w:t>MEM20002</w:t>
            </w:r>
          </w:p>
        </w:tc>
        <w:tc>
          <w:tcPr>
            <w:tcW w:w="6886" w:type="dxa"/>
            <w:tcBorders>
              <w:top w:val="nil"/>
              <w:left w:val="nil"/>
              <w:bottom w:val="nil"/>
              <w:right w:val="nil"/>
            </w:tcBorders>
            <w:tcMar>
              <w:top w:w="0" w:type="dxa"/>
              <w:left w:w="62" w:type="dxa"/>
              <w:bottom w:w="0" w:type="dxa"/>
              <w:right w:w="62" w:type="dxa"/>
            </w:tcMar>
          </w:tcPr>
          <w:p w:rsidR="00000000" w:rsidP="00F43402">
            <w:pPr>
              <w:pStyle w:val="BodyText"/>
              <w:rPr>
                <w:lang w:val="en-NZ"/>
              </w:rPr>
            </w:pPr>
            <w:r w:rsidRPr="00F43402">
              <w:t>Assemble and test lock mechanisms</w:t>
            </w:r>
          </w:p>
        </w:tc>
      </w:tr>
      <w:tr w:rsidTr="00F43402">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F43402">
            <w:pPr>
              <w:pStyle w:val="BodyText"/>
              <w:rPr>
                <w:lang w:val="en-NZ"/>
              </w:rPr>
            </w:pPr>
            <w:r w:rsidRPr="00F43402">
              <w:t>MEM20006</w:t>
            </w:r>
          </w:p>
        </w:tc>
        <w:tc>
          <w:tcPr>
            <w:tcW w:w="6886" w:type="dxa"/>
            <w:tcBorders>
              <w:top w:val="nil"/>
              <w:left w:val="nil"/>
              <w:bottom w:val="nil"/>
              <w:right w:val="nil"/>
            </w:tcBorders>
            <w:tcMar>
              <w:top w:w="0" w:type="dxa"/>
              <w:left w:w="62" w:type="dxa"/>
              <w:bottom w:w="0" w:type="dxa"/>
              <w:right w:w="62" w:type="dxa"/>
            </w:tcMar>
          </w:tcPr>
          <w:p w:rsidR="00000000" w:rsidRPr="00F43402" w:rsidP="00F43402">
            <w:pPr>
              <w:pStyle w:val="BodyText"/>
            </w:pPr>
            <w:r w:rsidRPr="00F43402">
              <w:t>Maintain and service mechanical locking devices</w:t>
            </w:r>
          </w:p>
        </w:tc>
      </w:tr>
    </w:tbl>
    <w:p w:rsidR="00000000" w:rsidRPr="00F43402" w:rsidP="00F43402">
      <w:pPr>
        <w:pStyle w:val="BodyText"/>
      </w:pPr>
    </w:p>
    <w:p w:rsidR="00000000" w:rsidRPr="00F43402" w:rsidP="00F43402">
      <w:pPr>
        <w:pStyle w:val="AllowPageBreak"/>
      </w:pPr>
    </w:p>
    <w:p w:rsidR="00000000" w:rsidRPr="00F43402" w:rsidP="00F43402">
      <w:pPr>
        <w:pStyle w:val="Heading1"/>
      </w:pPr>
      <w:bookmarkStart w:id="4" w:name="O_951052"/>
      <w:bookmarkEnd w:id="4"/>
      <w:r w:rsidRPr="00F43402">
        <w:t>Competency Field</w:t>
      </w:r>
    </w:p>
    <w:p w:rsidR="00000000" w:rsidRPr="00F43402" w:rsidP="0075733A">
      <w:pPr>
        <w:pStyle w:val="BodyText"/>
      </w:pPr>
      <w:r w:rsidRPr="00F43402">
        <w:t>Locksmithing</w:t>
      </w:r>
    </w:p>
    <w:p w:rsidR="00000000" w:rsidRPr="00F43402" w:rsidP="00F43402">
      <w:pPr>
        <w:pStyle w:val="Heading1"/>
      </w:pPr>
      <w:bookmarkStart w:id="5" w:name="O_951050"/>
      <w:bookmarkEnd w:id="5"/>
      <w:r w:rsidRPr="00F43402">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F43402">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F43402">
            <w:pPr>
              <w:pStyle w:val="BodyText"/>
              <w:rPr>
                <w:lang w:val="en-NZ"/>
              </w:rPr>
            </w:pPr>
            <w:r w:rsidRPr="00F43402">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F43402">
            <w:pPr>
              <w:pStyle w:val="BodyText"/>
              <w:rPr>
                <w:lang w:val="en-NZ"/>
              </w:rPr>
            </w:pPr>
            <w:r w:rsidRPr="00F43402">
              <w:t>Performance criteria describe the performance needed to demonstrate achievement of the element.</w:t>
            </w:r>
          </w:p>
        </w:tc>
      </w:tr>
      <w:tr w:rsidTr="00F4340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F43402" w:rsidP="00F43402">
            <w:pPr>
              <w:pStyle w:val="BodyText"/>
            </w:pPr>
            <w:r w:rsidRPr="00F43402">
              <w:t>1</w:t>
            </w:r>
          </w:p>
        </w:tc>
        <w:tc>
          <w:tcPr>
            <w:tcW w:w="1986" w:type="dxa"/>
            <w:vMerge w:val="restart"/>
            <w:tcBorders>
              <w:top w:val="nil"/>
              <w:left w:val="nil"/>
              <w:bottom w:val="nil"/>
              <w:right w:val="nil"/>
            </w:tcBorders>
            <w:tcMar>
              <w:top w:w="0" w:type="dxa"/>
              <w:left w:w="62" w:type="dxa"/>
              <w:bottom w:w="0" w:type="dxa"/>
              <w:right w:w="62" w:type="dxa"/>
            </w:tcMar>
          </w:tcPr>
          <w:p w:rsidR="00000000" w:rsidP="00F43402">
            <w:pPr>
              <w:pStyle w:val="BodyText"/>
              <w:rPr>
                <w:lang w:val="en-NZ"/>
              </w:rPr>
            </w:pPr>
            <w:r w:rsidRPr="00F43402">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F43402">
            <w:pPr>
              <w:pStyle w:val="BodyText"/>
              <w:rPr>
                <w:lang w:val="en-NZ"/>
              </w:rPr>
            </w:pPr>
            <w:r w:rsidRPr="00F43402">
              <w:t>1.1</w:t>
            </w:r>
          </w:p>
        </w:tc>
        <w:tc>
          <w:tcPr>
            <w:tcW w:w="5678" w:type="dxa"/>
            <w:tcBorders>
              <w:top w:val="nil"/>
              <w:left w:val="nil"/>
              <w:bottom w:val="nil"/>
              <w:right w:val="nil"/>
            </w:tcBorders>
            <w:tcMar>
              <w:top w:w="0" w:type="dxa"/>
              <w:left w:w="62" w:type="dxa"/>
              <w:bottom w:w="0" w:type="dxa"/>
              <w:right w:w="62" w:type="dxa"/>
            </w:tcMar>
          </w:tcPr>
          <w:p w:rsidR="00000000" w:rsidP="00F43402">
            <w:pPr>
              <w:pStyle w:val="BodyText"/>
              <w:rPr>
                <w:lang w:val="en-NZ"/>
              </w:rPr>
            </w:pPr>
            <w:r w:rsidRPr="00F43402">
              <w:t>Follow standard operating procedures (SOPs)</w:t>
            </w:r>
          </w:p>
        </w:tc>
      </w:tr>
      <w:tr w:rsidTr="00F4340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43402">
            <w:pPr>
              <w:pStyle w:val="BodyText"/>
              <w:rPr>
                <w:lang w:val="en-NZ"/>
              </w:rPr>
            </w:pPr>
            <w:r w:rsidRPr="00F43402">
              <w:t>1.2</w:t>
            </w:r>
          </w:p>
        </w:tc>
        <w:tc>
          <w:tcPr>
            <w:tcW w:w="5678" w:type="dxa"/>
            <w:tcBorders>
              <w:top w:val="nil"/>
              <w:left w:val="nil"/>
              <w:bottom w:val="nil"/>
              <w:right w:val="nil"/>
            </w:tcBorders>
            <w:tcMar>
              <w:top w:w="0" w:type="dxa"/>
              <w:left w:w="62" w:type="dxa"/>
              <w:bottom w:w="0" w:type="dxa"/>
              <w:right w:w="62" w:type="dxa"/>
            </w:tcMar>
          </w:tcPr>
          <w:p w:rsidR="00000000" w:rsidP="00F43402">
            <w:pPr>
              <w:pStyle w:val="BodyText"/>
              <w:rPr>
                <w:lang w:val="en-NZ"/>
              </w:rPr>
            </w:pPr>
            <w:r w:rsidRPr="00F43402">
              <w:t>Comply with work health and safety (WHS) requirements at all times</w:t>
            </w:r>
          </w:p>
        </w:tc>
      </w:tr>
      <w:tr w:rsidTr="00F4340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43402">
            <w:pPr>
              <w:pStyle w:val="BodyText"/>
              <w:rPr>
                <w:lang w:val="en-NZ"/>
              </w:rPr>
            </w:pPr>
            <w:r w:rsidRPr="00F43402">
              <w:t>1.3</w:t>
            </w:r>
          </w:p>
        </w:tc>
        <w:tc>
          <w:tcPr>
            <w:tcW w:w="5678" w:type="dxa"/>
            <w:tcBorders>
              <w:top w:val="nil"/>
              <w:left w:val="nil"/>
              <w:bottom w:val="nil"/>
              <w:right w:val="nil"/>
            </w:tcBorders>
            <w:tcMar>
              <w:top w:w="0" w:type="dxa"/>
              <w:left w:w="62" w:type="dxa"/>
              <w:bottom w:w="0" w:type="dxa"/>
              <w:right w:w="62" w:type="dxa"/>
            </w:tcMar>
          </w:tcPr>
          <w:p w:rsidR="00000000" w:rsidP="00F43402">
            <w:pPr>
              <w:pStyle w:val="BodyText"/>
              <w:rPr>
                <w:lang w:val="en-NZ"/>
              </w:rPr>
            </w:pPr>
            <w:r w:rsidRPr="00F43402">
              <w:t>Select and use appropriate personal protective equipment (PPE) in accordance with SOPs</w:t>
            </w:r>
          </w:p>
        </w:tc>
      </w:tr>
      <w:tr w:rsidTr="00F4340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43402">
            <w:pPr>
              <w:pStyle w:val="BodyText"/>
              <w:rPr>
                <w:lang w:val="en-NZ"/>
              </w:rPr>
            </w:pPr>
            <w:r w:rsidRPr="00F43402">
              <w:t>1.4</w:t>
            </w:r>
          </w:p>
        </w:tc>
        <w:tc>
          <w:tcPr>
            <w:tcW w:w="5678" w:type="dxa"/>
            <w:tcBorders>
              <w:top w:val="nil"/>
              <w:left w:val="nil"/>
              <w:bottom w:val="nil"/>
              <w:right w:val="nil"/>
            </w:tcBorders>
            <w:tcMar>
              <w:top w:w="0" w:type="dxa"/>
              <w:left w:w="62" w:type="dxa"/>
              <w:bottom w:w="0" w:type="dxa"/>
              <w:right w:w="62" w:type="dxa"/>
            </w:tcMar>
          </w:tcPr>
          <w:p w:rsidR="00000000" w:rsidP="00F43402">
            <w:pPr>
              <w:pStyle w:val="BodyText"/>
              <w:rPr>
                <w:lang w:val="en-NZ"/>
              </w:rPr>
            </w:pPr>
            <w:r w:rsidRPr="00F43402">
              <w:t>Identify job requirements from specifications, job sheets or work instructions</w:t>
            </w:r>
          </w:p>
        </w:tc>
      </w:tr>
      <w:tr w:rsidTr="00F43402">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F43402">
            <w:pPr>
              <w:pStyle w:val="BodyText"/>
              <w:rPr>
                <w:lang w:val="en-NZ"/>
              </w:rPr>
            </w:pPr>
          </w:p>
        </w:tc>
      </w:tr>
      <w:tr w:rsidTr="00F4340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F43402" w:rsidP="00F43402">
            <w:pPr>
              <w:pStyle w:val="BodyText"/>
            </w:pPr>
            <w:r w:rsidRPr="00F43402">
              <w:t>2</w:t>
            </w:r>
          </w:p>
        </w:tc>
        <w:tc>
          <w:tcPr>
            <w:tcW w:w="1986" w:type="dxa"/>
            <w:vMerge w:val="restart"/>
            <w:tcBorders>
              <w:top w:val="nil"/>
              <w:left w:val="nil"/>
              <w:bottom w:val="nil"/>
              <w:right w:val="nil"/>
            </w:tcBorders>
            <w:tcMar>
              <w:top w:w="0" w:type="dxa"/>
              <w:left w:w="62" w:type="dxa"/>
              <w:bottom w:w="0" w:type="dxa"/>
              <w:right w:w="62" w:type="dxa"/>
            </w:tcMar>
          </w:tcPr>
          <w:p w:rsidR="00000000" w:rsidP="00F43402">
            <w:pPr>
              <w:pStyle w:val="BodyText"/>
              <w:rPr>
                <w:lang w:val="en-NZ"/>
              </w:rPr>
            </w:pPr>
            <w:r w:rsidRPr="00F43402">
              <w:rPr>
                <w:rStyle w:val="SpecialBold"/>
              </w:rPr>
              <w:t>Identify service requirements</w:t>
            </w:r>
          </w:p>
        </w:tc>
        <w:tc>
          <w:tcPr>
            <w:tcW w:w="779" w:type="dxa"/>
            <w:tcBorders>
              <w:top w:val="nil"/>
              <w:left w:val="nil"/>
              <w:bottom w:val="nil"/>
              <w:right w:val="nil"/>
            </w:tcBorders>
            <w:tcMar>
              <w:top w:w="0" w:type="dxa"/>
              <w:left w:w="62" w:type="dxa"/>
              <w:bottom w:w="0" w:type="dxa"/>
              <w:right w:w="62" w:type="dxa"/>
            </w:tcMar>
          </w:tcPr>
          <w:p w:rsidR="00000000" w:rsidP="00F43402">
            <w:pPr>
              <w:pStyle w:val="BodyText"/>
              <w:rPr>
                <w:lang w:val="en-NZ"/>
              </w:rPr>
            </w:pPr>
            <w:r w:rsidRPr="00F43402">
              <w:t>2.1</w:t>
            </w:r>
          </w:p>
        </w:tc>
        <w:tc>
          <w:tcPr>
            <w:tcW w:w="5678" w:type="dxa"/>
            <w:tcBorders>
              <w:top w:val="nil"/>
              <w:left w:val="nil"/>
              <w:bottom w:val="nil"/>
              <w:right w:val="nil"/>
            </w:tcBorders>
            <w:tcMar>
              <w:top w:w="0" w:type="dxa"/>
              <w:left w:w="62" w:type="dxa"/>
              <w:bottom w:w="0" w:type="dxa"/>
              <w:right w:w="62" w:type="dxa"/>
            </w:tcMar>
          </w:tcPr>
          <w:p w:rsidR="00000000" w:rsidP="00F43402">
            <w:pPr>
              <w:pStyle w:val="BodyText"/>
              <w:rPr>
                <w:lang w:val="en-NZ"/>
              </w:rPr>
            </w:pPr>
            <w:r w:rsidRPr="00F43402">
              <w:t>Establish ownership of safe/container and contents and verify in accordance with organisational, legal and industry procedures</w:t>
            </w:r>
          </w:p>
        </w:tc>
      </w:tr>
      <w:tr w:rsidTr="00F4340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43402">
            <w:pPr>
              <w:pStyle w:val="BodyText"/>
              <w:rPr>
                <w:lang w:val="en-NZ"/>
              </w:rPr>
            </w:pPr>
            <w:r w:rsidRPr="00F43402">
              <w:t>2.2</w:t>
            </w:r>
          </w:p>
        </w:tc>
        <w:tc>
          <w:tcPr>
            <w:tcW w:w="5678" w:type="dxa"/>
            <w:tcBorders>
              <w:top w:val="nil"/>
              <w:left w:val="nil"/>
              <w:bottom w:val="nil"/>
              <w:right w:val="nil"/>
            </w:tcBorders>
            <w:tcMar>
              <w:top w:w="0" w:type="dxa"/>
              <w:left w:w="62" w:type="dxa"/>
              <w:bottom w:w="0" w:type="dxa"/>
              <w:right w:w="62" w:type="dxa"/>
            </w:tcMar>
          </w:tcPr>
          <w:p w:rsidR="00000000" w:rsidP="00F43402">
            <w:pPr>
              <w:pStyle w:val="BodyText"/>
              <w:rPr>
                <w:lang w:val="en-NZ"/>
              </w:rPr>
            </w:pPr>
            <w:r w:rsidRPr="00F43402">
              <w:t>Obtain type of safe and lock mechanism specifications from appropriate sources and in</w:t>
            </w:r>
            <w:r w:rsidRPr="00F43402">
              <w:t xml:space="preserve"> accordance with SOPs and customer requirements</w:t>
            </w:r>
          </w:p>
        </w:tc>
      </w:tr>
      <w:tr w:rsidTr="00F4340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43402">
            <w:pPr>
              <w:pStyle w:val="BodyText"/>
              <w:rPr>
                <w:lang w:val="en-NZ"/>
              </w:rPr>
            </w:pPr>
            <w:r w:rsidRPr="00F43402">
              <w:t>2.3</w:t>
            </w:r>
          </w:p>
        </w:tc>
        <w:tc>
          <w:tcPr>
            <w:tcW w:w="5678" w:type="dxa"/>
            <w:tcBorders>
              <w:top w:val="nil"/>
              <w:left w:val="nil"/>
              <w:bottom w:val="nil"/>
              <w:right w:val="nil"/>
            </w:tcBorders>
            <w:tcMar>
              <w:top w:w="0" w:type="dxa"/>
              <w:left w:w="62" w:type="dxa"/>
              <w:bottom w:w="0" w:type="dxa"/>
              <w:right w:w="62" w:type="dxa"/>
            </w:tcMar>
          </w:tcPr>
          <w:p w:rsidR="00000000" w:rsidP="00F43402">
            <w:pPr>
              <w:pStyle w:val="BodyText"/>
              <w:rPr>
                <w:lang w:val="en-NZ"/>
              </w:rPr>
            </w:pPr>
            <w:r w:rsidRPr="00F43402">
              <w:t xml:space="preserve">Establish nature of any damage or malfunction to exterior, interior and lock components in accordance with organisational procedures, established </w:t>
            </w:r>
            <w:r w:rsidRPr="00F43402">
              <w:t>inspection/diagnostic techniques and original specifications</w:t>
            </w:r>
          </w:p>
        </w:tc>
      </w:tr>
      <w:tr w:rsidTr="00F4340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43402">
            <w:pPr>
              <w:pStyle w:val="BodyText"/>
              <w:rPr>
                <w:lang w:val="en-NZ"/>
              </w:rPr>
            </w:pPr>
            <w:r w:rsidRPr="00F43402">
              <w:t>2.4</w:t>
            </w:r>
          </w:p>
        </w:tc>
        <w:tc>
          <w:tcPr>
            <w:tcW w:w="5678" w:type="dxa"/>
            <w:tcBorders>
              <w:top w:val="nil"/>
              <w:left w:val="nil"/>
              <w:bottom w:val="nil"/>
              <w:right w:val="nil"/>
            </w:tcBorders>
            <w:tcMar>
              <w:top w:w="0" w:type="dxa"/>
              <w:left w:w="62" w:type="dxa"/>
              <w:bottom w:w="0" w:type="dxa"/>
              <w:right w:w="62" w:type="dxa"/>
            </w:tcMar>
          </w:tcPr>
          <w:p w:rsidR="00000000" w:rsidP="00F43402">
            <w:pPr>
              <w:pStyle w:val="BodyText"/>
              <w:rPr>
                <w:lang w:val="en-NZ"/>
              </w:rPr>
            </w:pPr>
            <w:r w:rsidRPr="00F43402">
              <w:t>Establish service and repair requirements and other information relevant to task in accordance with customer needs, organisational and manufacturer specifications and legislation, codes, r</w:t>
            </w:r>
            <w:r w:rsidRPr="00F43402">
              <w:t>egulations and standards</w:t>
            </w:r>
          </w:p>
        </w:tc>
      </w:tr>
      <w:tr w:rsidTr="00F4340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43402">
            <w:pPr>
              <w:pStyle w:val="BodyText"/>
              <w:rPr>
                <w:lang w:val="en-NZ"/>
              </w:rPr>
            </w:pPr>
            <w:r w:rsidRPr="00F43402">
              <w:t>2.5</w:t>
            </w:r>
          </w:p>
        </w:tc>
        <w:tc>
          <w:tcPr>
            <w:tcW w:w="5678" w:type="dxa"/>
            <w:tcBorders>
              <w:top w:val="nil"/>
              <w:left w:val="nil"/>
              <w:bottom w:val="nil"/>
              <w:right w:val="nil"/>
            </w:tcBorders>
            <w:tcMar>
              <w:top w:w="0" w:type="dxa"/>
              <w:left w:w="62" w:type="dxa"/>
              <w:bottom w:w="0" w:type="dxa"/>
              <w:right w:w="62" w:type="dxa"/>
            </w:tcMar>
          </w:tcPr>
          <w:p w:rsidR="00000000" w:rsidP="00F43402">
            <w:pPr>
              <w:pStyle w:val="BodyText"/>
              <w:rPr>
                <w:lang w:val="en-NZ"/>
              </w:rPr>
            </w:pPr>
            <w:r w:rsidRPr="00F43402">
              <w:t>Determine appropriate location of work and arrange removal of safe, as necessary</w:t>
            </w:r>
          </w:p>
        </w:tc>
      </w:tr>
      <w:tr w:rsidTr="00F43402">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F43402">
            <w:pPr>
              <w:pStyle w:val="BodyText"/>
              <w:rPr>
                <w:lang w:val="en-NZ"/>
              </w:rPr>
            </w:pPr>
          </w:p>
        </w:tc>
      </w:tr>
      <w:tr w:rsidTr="00F4340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F43402" w:rsidP="00F43402">
            <w:pPr>
              <w:pStyle w:val="BodyText"/>
            </w:pPr>
            <w:r w:rsidRPr="00F43402">
              <w:t>3</w:t>
            </w:r>
          </w:p>
        </w:tc>
        <w:tc>
          <w:tcPr>
            <w:tcW w:w="1986" w:type="dxa"/>
            <w:vMerge w:val="restart"/>
            <w:tcBorders>
              <w:top w:val="nil"/>
              <w:left w:val="nil"/>
              <w:bottom w:val="nil"/>
              <w:right w:val="nil"/>
            </w:tcBorders>
            <w:tcMar>
              <w:top w:w="0" w:type="dxa"/>
              <w:left w:w="62" w:type="dxa"/>
              <w:bottom w:w="0" w:type="dxa"/>
              <w:right w:w="62" w:type="dxa"/>
            </w:tcMar>
          </w:tcPr>
          <w:p w:rsidR="00000000" w:rsidP="00F43402">
            <w:pPr>
              <w:pStyle w:val="BodyText"/>
              <w:rPr>
                <w:lang w:val="en-NZ"/>
              </w:rPr>
            </w:pPr>
            <w:r w:rsidRPr="00F43402">
              <w:rPr>
                <w:rStyle w:val="SpecialBold"/>
              </w:rPr>
              <w:t>Repair, replace and service safe components</w:t>
            </w:r>
          </w:p>
        </w:tc>
        <w:tc>
          <w:tcPr>
            <w:tcW w:w="779" w:type="dxa"/>
            <w:tcBorders>
              <w:top w:val="nil"/>
              <w:left w:val="nil"/>
              <w:bottom w:val="nil"/>
              <w:right w:val="nil"/>
            </w:tcBorders>
            <w:tcMar>
              <w:top w:w="0" w:type="dxa"/>
              <w:left w:w="62" w:type="dxa"/>
              <w:bottom w:w="0" w:type="dxa"/>
              <w:right w:w="62" w:type="dxa"/>
            </w:tcMar>
          </w:tcPr>
          <w:p w:rsidR="00000000" w:rsidP="00F43402">
            <w:pPr>
              <w:pStyle w:val="BodyText"/>
              <w:rPr>
                <w:lang w:val="en-NZ"/>
              </w:rPr>
            </w:pPr>
            <w:r w:rsidRPr="00F43402">
              <w:t>3.1</w:t>
            </w:r>
          </w:p>
        </w:tc>
        <w:tc>
          <w:tcPr>
            <w:tcW w:w="5678" w:type="dxa"/>
            <w:tcBorders>
              <w:top w:val="nil"/>
              <w:left w:val="nil"/>
              <w:bottom w:val="nil"/>
              <w:right w:val="nil"/>
            </w:tcBorders>
            <w:tcMar>
              <w:top w:w="0" w:type="dxa"/>
              <w:left w:w="62" w:type="dxa"/>
              <w:bottom w:w="0" w:type="dxa"/>
              <w:right w:w="62" w:type="dxa"/>
            </w:tcMar>
          </w:tcPr>
          <w:p w:rsidR="00000000" w:rsidP="00F43402">
            <w:pPr>
              <w:pStyle w:val="BodyText"/>
              <w:rPr>
                <w:lang w:val="en-NZ"/>
              </w:rPr>
            </w:pPr>
            <w:r w:rsidRPr="00F43402">
              <w:t>Identify risks and hazards and make area secure</w:t>
            </w:r>
          </w:p>
        </w:tc>
      </w:tr>
      <w:tr w:rsidTr="00F4340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43402">
            <w:pPr>
              <w:pStyle w:val="BodyText"/>
              <w:rPr>
                <w:lang w:val="en-NZ"/>
              </w:rPr>
            </w:pPr>
            <w:r w:rsidRPr="00F43402">
              <w:t>3.2</w:t>
            </w:r>
          </w:p>
        </w:tc>
        <w:tc>
          <w:tcPr>
            <w:tcW w:w="5678" w:type="dxa"/>
            <w:tcBorders>
              <w:top w:val="nil"/>
              <w:left w:val="nil"/>
              <w:bottom w:val="nil"/>
              <w:right w:val="nil"/>
            </w:tcBorders>
            <w:tcMar>
              <w:top w:w="0" w:type="dxa"/>
              <w:left w:w="62" w:type="dxa"/>
              <w:bottom w:w="0" w:type="dxa"/>
              <w:right w:w="62" w:type="dxa"/>
            </w:tcMar>
          </w:tcPr>
          <w:p w:rsidR="00000000" w:rsidP="00F43402">
            <w:pPr>
              <w:pStyle w:val="BodyText"/>
              <w:rPr>
                <w:lang w:val="en-NZ"/>
              </w:rPr>
            </w:pPr>
            <w:r w:rsidRPr="00F43402">
              <w:t>Inspect safe/container locking components and establish further specific repair/service requirements, options and recommend actions in accordance with organisational requirements and factors impacting on feasibility of repair</w:t>
            </w:r>
          </w:p>
        </w:tc>
      </w:tr>
      <w:tr w:rsidTr="00F4340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43402">
            <w:pPr>
              <w:pStyle w:val="BodyText"/>
              <w:rPr>
                <w:lang w:val="en-NZ"/>
              </w:rPr>
            </w:pPr>
            <w:r w:rsidRPr="00F43402">
              <w:t>3.3</w:t>
            </w:r>
          </w:p>
        </w:tc>
        <w:tc>
          <w:tcPr>
            <w:tcW w:w="5678" w:type="dxa"/>
            <w:tcBorders>
              <w:top w:val="nil"/>
              <w:left w:val="nil"/>
              <w:bottom w:val="nil"/>
              <w:right w:val="nil"/>
            </w:tcBorders>
            <w:tcMar>
              <w:top w:w="0" w:type="dxa"/>
              <w:left w:w="62" w:type="dxa"/>
              <w:bottom w:w="0" w:type="dxa"/>
              <w:right w:w="62" w:type="dxa"/>
            </w:tcMar>
          </w:tcPr>
          <w:p w:rsidR="00000000" w:rsidP="00F43402">
            <w:pPr>
              <w:pStyle w:val="BodyText"/>
              <w:rPr>
                <w:lang w:val="en-NZ"/>
              </w:rPr>
            </w:pPr>
            <w:r w:rsidRPr="00F43402">
              <w:t>Dismantle lock assemblies and components using appropriate organisational procedures, industry practices, tools and equipment</w:t>
            </w:r>
          </w:p>
        </w:tc>
      </w:tr>
      <w:tr w:rsidTr="00F4340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43402">
            <w:pPr>
              <w:pStyle w:val="BodyText"/>
              <w:rPr>
                <w:lang w:val="en-NZ"/>
              </w:rPr>
            </w:pPr>
            <w:r w:rsidRPr="00F43402">
              <w:t>3.4</w:t>
            </w:r>
          </w:p>
        </w:tc>
        <w:tc>
          <w:tcPr>
            <w:tcW w:w="5678" w:type="dxa"/>
            <w:tcBorders>
              <w:top w:val="nil"/>
              <w:left w:val="nil"/>
              <w:bottom w:val="nil"/>
              <w:right w:val="nil"/>
            </w:tcBorders>
            <w:tcMar>
              <w:top w:w="0" w:type="dxa"/>
              <w:left w:w="62" w:type="dxa"/>
              <w:bottom w:w="0" w:type="dxa"/>
              <w:right w:w="62" w:type="dxa"/>
            </w:tcMar>
          </w:tcPr>
          <w:p w:rsidR="00000000" w:rsidP="00F43402">
            <w:pPr>
              <w:pStyle w:val="BodyText"/>
              <w:rPr>
                <w:lang w:val="en-NZ"/>
              </w:rPr>
            </w:pPr>
            <w:r w:rsidRPr="00F43402">
              <w:t>Repair/replace/service components as necessary and practicable</w:t>
            </w:r>
          </w:p>
        </w:tc>
      </w:tr>
      <w:tr w:rsidTr="00F4340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43402">
            <w:pPr>
              <w:pStyle w:val="BodyText"/>
              <w:rPr>
                <w:lang w:val="en-NZ"/>
              </w:rPr>
            </w:pPr>
            <w:r w:rsidRPr="00F43402">
              <w:t>3.5</w:t>
            </w:r>
          </w:p>
        </w:tc>
        <w:tc>
          <w:tcPr>
            <w:tcW w:w="5678" w:type="dxa"/>
            <w:tcBorders>
              <w:top w:val="nil"/>
              <w:left w:val="nil"/>
              <w:bottom w:val="nil"/>
              <w:right w:val="nil"/>
            </w:tcBorders>
            <w:tcMar>
              <w:top w:w="0" w:type="dxa"/>
              <w:left w:w="62" w:type="dxa"/>
              <w:bottom w:w="0" w:type="dxa"/>
              <w:right w:w="62" w:type="dxa"/>
            </w:tcMar>
          </w:tcPr>
          <w:p w:rsidR="00000000" w:rsidP="00F43402">
            <w:pPr>
              <w:pStyle w:val="BodyText"/>
              <w:rPr>
                <w:lang w:val="en-NZ"/>
              </w:rPr>
            </w:pPr>
            <w:r w:rsidRPr="00F43402">
              <w:t xml:space="preserve">Select appropriate lubrication and sealing materials </w:t>
            </w:r>
            <w:r w:rsidRPr="00F43402">
              <w:t>and apply in conformance to standard locksmithing procedures</w:t>
            </w:r>
          </w:p>
        </w:tc>
      </w:tr>
      <w:tr w:rsidTr="00F4340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43402">
            <w:pPr>
              <w:pStyle w:val="BodyText"/>
              <w:rPr>
                <w:lang w:val="en-NZ"/>
              </w:rPr>
            </w:pPr>
            <w:r w:rsidRPr="00F43402">
              <w:t>3.6</w:t>
            </w:r>
          </w:p>
        </w:tc>
        <w:tc>
          <w:tcPr>
            <w:tcW w:w="5678" w:type="dxa"/>
            <w:tcBorders>
              <w:top w:val="nil"/>
              <w:left w:val="nil"/>
              <w:bottom w:val="nil"/>
              <w:right w:val="nil"/>
            </w:tcBorders>
            <w:tcMar>
              <w:top w:w="0" w:type="dxa"/>
              <w:left w:w="62" w:type="dxa"/>
              <w:bottom w:w="0" w:type="dxa"/>
              <w:right w:w="62" w:type="dxa"/>
            </w:tcMar>
          </w:tcPr>
          <w:p w:rsidR="00000000" w:rsidP="00F43402">
            <w:pPr>
              <w:pStyle w:val="BodyText"/>
              <w:rPr>
                <w:lang w:val="en-NZ"/>
              </w:rPr>
            </w:pPr>
            <w:r w:rsidRPr="00F43402">
              <w:t>Inspect boltwork and internal lock components, test and adjust as necessary for compliance to original factory assembly and functioning</w:t>
            </w:r>
          </w:p>
        </w:tc>
      </w:tr>
      <w:tr w:rsidTr="00F43402">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F43402">
            <w:pPr>
              <w:pStyle w:val="BodyText"/>
              <w:rPr>
                <w:lang w:val="en-NZ"/>
              </w:rPr>
            </w:pPr>
          </w:p>
        </w:tc>
      </w:tr>
      <w:tr w:rsidTr="00F4340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F43402" w:rsidP="00F43402">
            <w:pPr>
              <w:pStyle w:val="BodyText"/>
            </w:pPr>
            <w:r w:rsidRPr="00F43402">
              <w:t>4</w:t>
            </w:r>
          </w:p>
        </w:tc>
        <w:tc>
          <w:tcPr>
            <w:tcW w:w="1986" w:type="dxa"/>
            <w:vMerge w:val="restart"/>
            <w:tcBorders>
              <w:top w:val="nil"/>
              <w:left w:val="nil"/>
              <w:bottom w:val="nil"/>
              <w:right w:val="nil"/>
            </w:tcBorders>
            <w:tcMar>
              <w:top w:w="0" w:type="dxa"/>
              <w:left w:w="62" w:type="dxa"/>
              <w:bottom w:w="0" w:type="dxa"/>
              <w:right w:w="62" w:type="dxa"/>
            </w:tcMar>
          </w:tcPr>
          <w:p w:rsidR="00000000" w:rsidP="00F43402">
            <w:pPr>
              <w:pStyle w:val="BodyText"/>
              <w:rPr>
                <w:lang w:val="en-NZ"/>
              </w:rPr>
            </w:pPr>
            <w:r w:rsidRPr="00F43402">
              <w:rPr>
                <w:rStyle w:val="SpecialBold"/>
              </w:rPr>
              <w:t>Finalise servicing/ repair process</w:t>
            </w:r>
          </w:p>
        </w:tc>
        <w:tc>
          <w:tcPr>
            <w:tcW w:w="779" w:type="dxa"/>
            <w:tcBorders>
              <w:top w:val="nil"/>
              <w:left w:val="nil"/>
              <w:bottom w:val="nil"/>
              <w:right w:val="nil"/>
            </w:tcBorders>
            <w:tcMar>
              <w:top w:w="0" w:type="dxa"/>
              <w:left w:w="62" w:type="dxa"/>
              <w:bottom w:w="0" w:type="dxa"/>
              <w:right w:w="62" w:type="dxa"/>
            </w:tcMar>
          </w:tcPr>
          <w:p w:rsidR="00000000" w:rsidP="00F43402">
            <w:pPr>
              <w:pStyle w:val="BodyText"/>
              <w:rPr>
                <w:lang w:val="en-NZ"/>
              </w:rPr>
            </w:pPr>
            <w:r w:rsidRPr="00F43402">
              <w:t>4.1</w:t>
            </w:r>
          </w:p>
        </w:tc>
        <w:tc>
          <w:tcPr>
            <w:tcW w:w="5678" w:type="dxa"/>
            <w:tcBorders>
              <w:top w:val="nil"/>
              <w:left w:val="nil"/>
              <w:bottom w:val="nil"/>
              <w:right w:val="nil"/>
            </w:tcBorders>
            <w:tcMar>
              <w:top w:w="0" w:type="dxa"/>
              <w:left w:w="62" w:type="dxa"/>
              <w:bottom w:w="0" w:type="dxa"/>
              <w:right w:w="62" w:type="dxa"/>
            </w:tcMar>
          </w:tcPr>
          <w:p w:rsidR="00000000" w:rsidP="00F43402">
            <w:pPr>
              <w:pStyle w:val="BodyText"/>
              <w:rPr>
                <w:lang w:val="en-NZ"/>
              </w:rPr>
            </w:pPr>
            <w:r w:rsidRPr="00F43402">
              <w:t>Test function of specific components and entire locking system for compliance with operational specifications and adjust, as necessary</w:t>
            </w:r>
          </w:p>
        </w:tc>
      </w:tr>
      <w:tr w:rsidTr="00F4340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43402">
            <w:pPr>
              <w:pStyle w:val="BodyText"/>
              <w:rPr>
                <w:lang w:val="en-NZ"/>
              </w:rPr>
            </w:pPr>
            <w:r w:rsidRPr="00F43402">
              <w:t>4.2</w:t>
            </w:r>
          </w:p>
        </w:tc>
        <w:tc>
          <w:tcPr>
            <w:tcW w:w="5678" w:type="dxa"/>
            <w:tcBorders>
              <w:top w:val="nil"/>
              <w:left w:val="nil"/>
              <w:bottom w:val="nil"/>
              <w:right w:val="nil"/>
            </w:tcBorders>
            <w:tcMar>
              <w:top w:w="0" w:type="dxa"/>
              <w:left w:w="62" w:type="dxa"/>
              <w:bottom w:w="0" w:type="dxa"/>
              <w:right w:w="62" w:type="dxa"/>
            </w:tcMar>
          </w:tcPr>
          <w:p w:rsidR="00000000" w:rsidP="00F43402">
            <w:pPr>
              <w:pStyle w:val="BodyText"/>
              <w:rPr>
                <w:lang w:val="en-NZ"/>
              </w:rPr>
            </w:pPr>
            <w:r w:rsidRPr="00F43402">
              <w:t>Complete and process documentation in accordance with legislative, assignment and organisational requirements</w:t>
            </w:r>
          </w:p>
        </w:tc>
      </w:tr>
      <w:tr w:rsidTr="00F4340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43402">
            <w:pPr>
              <w:pStyle w:val="BodyText"/>
              <w:rPr>
                <w:lang w:val="en-NZ"/>
              </w:rPr>
            </w:pPr>
            <w:r w:rsidRPr="00F43402">
              <w:t>4.3</w:t>
            </w:r>
          </w:p>
        </w:tc>
        <w:tc>
          <w:tcPr>
            <w:tcW w:w="5678" w:type="dxa"/>
            <w:tcBorders>
              <w:top w:val="nil"/>
              <w:left w:val="nil"/>
              <w:bottom w:val="nil"/>
              <w:right w:val="nil"/>
            </w:tcBorders>
            <w:tcMar>
              <w:top w:w="0" w:type="dxa"/>
              <w:left w:w="62" w:type="dxa"/>
              <w:bottom w:w="0" w:type="dxa"/>
              <w:right w:w="62" w:type="dxa"/>
            </w:tcMar>
          </w:tcPr>
          <w:p w:rsidR="00000000" w:rsidP="00F43402">
            <w:pPr>
              <w:pStyle w:val="BodyText"/>
              <w:rPr>
                <w:lang w:val="en-NZ"/>
              </w:rPr>
            </w:pPr>
            <w:r w:rsidRPr="00F43402">
              <w:t>Clean work area, tools and equipment and store in accordance with SOPs</w:t>
            </w:r>
          </w:p>
        </w:tc>
      </w:tr>
      <w:tr w:rsidTr="00F4340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43402">
            <w:pPr>
              <w:pStyle w:val="BodyText"/>
              <w:rPr>
                <w:lang w:val="en-NZ"/>
              </w:rPr>
            </w:pPr>
            <w:r w:rsidRPr="00F43402">
              <w:t>4.4</w:t>
            </w:r>
          </w:p>
        </w:tc>
        <w:tc>
          <w:tcPr>
            <w:tcW w:w="5678" w:type="dxa"/>
            <w:tcBorders>
              <w:top w:val="nil"/>
              <w:left w:val="nil"/>
              <w:bottom w:val="nil"/>
              <w:right w:val="nil"/>
            </w:tcBorders>
            <w:tcMar>
              <w:top w:w="0" w:type="dxa"/>
              <w:left w:w="62" w:type="dxa"/>
              <w:bottom w:w="0" w:type="dxa"/>
              <w:right w:w="62" w:type="dxa"/>
            </w:tcMar>
          </w:tcPr>
          <w:p w:rsidR="00000000" w:rsidP="00F43402">
            <w:pPr>
              <w:pStyle w:val="BodyText"/>
              <w:rPr>
                <w:lang w:val="en-NZ"/>
              </w:rPr>
            </w:pPr>
            <w:r w:rsidRPr="00F43402">
              <w:t>Clean safe/container and return to service according to organisational and customer requirements</w:t>
            </w:r>
          </w:p>
        </w:tc>
      </w:tr>
      <w:tr w:rsidTr="00F4340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43402">
            <w:pPr>
              <w:pStyle w:val="BodyText"/>
              <w:rPr>
                <w:lang w:val="en-NZ"/>
              </w:rPr>
            </w:pPr>
            <w:r w:rsidRPr="00F43402">
              <w:t>4.5</w:t>
            </w:r>
          </w:p>
        </w:tc>
        <w:tc>
          <w:tcPr>
            <w:tcW w:w="5678" w:type="dxa"/>
            <w:tcBorders>
              <w:top w:val="nil"/>
              <w:left w:val="nil"/>
              <w:bottom w:val="nil"/>
              <w:right w:val="nil"/>
            </w:tcBorders>
            <w:tcMar>
              <w:top w:w="0" w:type="dxa"/>
              <w:left w:w="62" w:type="dxa"/>
              <w:bottom w:w="0" w:type="dxa"/>
              <w:right w:w="62" w:type="dxa"/>
            </w:tcMar>
          </w:tcPr>
          <w:p w:rsidR="00000000" w:rsidP="00F43402">
            <w:pPr>
              <w:pStyle w:val="BodyText"/>
              <w:rPr>
                <w:lang w:val="en-NZ"/>
              </w:rPr>
            </w:pPr>
            <w:r w:rsidRPr="00F43402">
              <w:t>Instruct customer, as necessary, in accordance with SOPs and manufactu</w:t>
            </w:r>
            <w:r w:rsidRPr="00F43402">
              <w:t>rer recommendations</w:t>
            </w:r>
          </w:p>
        </w:tc>
      </w:tr>
      <w:tr w:rsidTr="00F4340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43402">
            <w:pPr>
              <w:pStyle w:val="BodyText"/>
              <w:rPr>
                <w:lang w:val="en-NZ"/>
              </w:rPr>
            </w:pPr>
            <w:r w:rsidRPr="00F43402">
              <w:t>4.6</w:t>
            </w:r>
          </w:p>
        </w:tc>
        <w:tc>
          <w:tcPr>
            <w:tcW w:w="5678" w:type="dxa"/>
            <w:tcBorders>
              <w:top w:val="nil"/>
              <w:left w:val="nil"/>
              <w:bottom w:val="nil"/>
              <w:right w:val="nil"/>
            </w:tcBorders>
            <w:tcMar>
              <w:top w:w="0" w:type="dxa"/>
              <w:left w:w="62" w:type="dxa"/>
              <w:bottom w:w="0" w:type="dxa"/>
              <w:right w:w="62" w:type="dxa"/>
            </w:tcMar>
          </w:tcPr>
          <w:p w:rsidR="00000000" w:rsidRPr="00F43402" w:rsidP="00F43402">
            <w:pPr>
              <w:pStyle w:val="BodyText"/>
            </w:pPr>
            <w:r w:rsidRPr="00F43402">
              <w:t>Confirm work with appropriate person(s) in accordance with SOPs</w:t>
            </w:r>
          </w:p>
        </w:tc>
      </w:tr>
    </w:tbl>
    <w:p w:rsidR="00000000" w:rsidRPr="00F43402" w:rsidP="00F43402">
      <w:pPr>
        <w:pStyle w:val="BodyText"/>
      </w:pPr>
    </w:p>
    <w:p w:rsidR="00000000" w:rsidRPr="00F43402" w:rsidP="00F43402">
      <w:pPr>
        <w:pStyle w:val="AllowPageBreak"/>
      </w:pPr>
    </w:p>
    <w:p w:rsidR="00000000" w:rsidRPr="00F43402" w:rsidP="00F43402">
      <w:pPr>
        <w:pStyle w:val="Heading1"/>
      </w:pPr>
      <w:bookmarkStart w:id="6" w:name="O_951049"/>
      <w:bookmarkEnd w:id="6"/>
      <w:r w:rsidRPr="00F43402">
        <w:t>Foundation Skills</w:t>
      </w:r>
    </w:p>
    <w:p w:rsidR="00000000" w:rsidRPr="00F43402" w:rsidP="0075733A">
      <w:pPr>
        <w:pStyle w:val="BodyText"/>
      </w:pPr>
      <w:r w:rsidRPr="00F43402">
        <w:t xml:space="preserve">This section describes those required skills (reading, writing, oral communication and numeracy) that are essential to workplace performance in this unit of competency.  </w:t>
      </w:r>
    </w:p>
    <w:p w:rsidR="00000000" w:rsidRPr="00F43402" w:rsidP="0075733A">
      <w:pPr>
        <w:pStyle w:val="BodyText"/>
      </w:pPr>
      <w:r w:rsidRPr="00F43402">
        <w:t xml:space="preserve">Foundation skills essential to performance are explicit in the performance criteria </w:t>
      </w:r>
      <w:r w:rsidRPr="00F43402">
        <w:t>of this unit of competency.</w:t>
      </w:r>
    </w:p>
    <w:p w:rsidR="00000000" w:rsidRPr="00F43402" w:rsidP="00F43402">
      <w:pPr>
        <w:pStyle w:val="Heading1"/>
      </w:pPr>
      <w:bookmarkStart w:id="7" w:name="O_951048"/>
      <w:bookmarkEnd w:id="7"/>
      <w:r w:rsidRPr="00F43402">
        <w:t>Range of Conditions</w:t>
      </w:r>
    </w:p>
    <w:tbl>
      <w:tblPr>
        <w:tblW w:w="0" w:type="auto"/>
        <w:tblLayout w:type="fixed"/>
        <w:tblCellMar>
          <w:left w:w="62" w:type="dxa"/>
          <w:right w:w="62" w:type="dxa"/>
        </w:tblCellMar>
        <w:tblLook w:val="0000"/>
      </w:tblPr>
      <w:tblGrid>
        <w:gridCol w:w="2641"/>
        <w:gridCol w:w="6501"/>
      </w:tblGrid>
      <w:tr w:rsidTr="00F43402">
        <w:tblPrEx>
          <w:tblW w:w="0" w:type="auto"/>
          <w:tblLayout w:type="fixed"/>
          <w:tblCellMar>
            <w:left w:w="62" w:type="dxa"/>
            <w:right w:w="62" w:type="dxa"/>
          </w:tblCellMar>
          <w:tblLook w:val="0000"/>
        </w:tblPrEx>
        <w:trPr>
          <w:tblHeader/>
        </w:trPr>
        <w:tc>
          <w:tcPr>
            <w:tcW w:w="9142" w:type="dxa"/>
            <w:gridSpan w:val="2"/>
            <w:tcBorders>
              <w:top w:val="nil"/>
              <w:left w:val="nil"/>
              <w:bottom w:val="nil"/>
              <w:right w:val="nil"/>
            </w:tcBorders>
            <w:tcMar>
              <w:top w:w="0" w:type="dxa"/>
              <w:left w:w="62" w:type="dxa"/>
              <w:bottom w:w="0" w:type="dxa"/>
              <w:right w:w="62" w:type="dxa"/>
            </w:tcMar>
          </w:tcPr>
          <w:p w:rsidR="00000000" w:rsidP="00F43402">
            <w:pPr>
              <w:pStyle w:val="BodyText"/>
              <w:rPr>
                <w:lang w:val="en-NZ"/>
              </w:rPr>
            </w:pPr>
            <w:r w:rsidRPr="00F43402">
              <w:t>This field allows for different work environments and conditions that may affect performance. Essential operating conditions that may be present (depending on the work situation, needs of the</w:t>
            </w:r>
            <w:r w:rsidRPr="00F43402">
              <w:t xml:space="preserve"> candidate, accessibility of the item, and local industry and regional contexts) are included.</w:t>
            </w:r>
          </w:p>
        </w:tc>
      </w:tr>
      <w:tr w:rsidTr="00F43402">
        <w:tblPrEx>
          <w:tblW w:w="0" w:type="auto"/>
          <w:tblLayout w:type="fixed"/>
          <w:tblCellMar>
            <w:left w:w="62" w:type="dxa"/>
            <w:right w:w="62" w:type="dxa"/>
          </w:tblCellMar>
          <w:tblLook w:val="0000"/>
        </w:tblPrEx>
        <w:trPr>
          <w:trHeight w:val="4431"/>
        </w:trPr>
        <w:tc>
          <w:tcPr>
            <w:tcW w:w="2641" w:type="dxa"/>
            <w:tcBorders>
              <w:top w:val="nil"/>
              <w:left w:val="nil"/>
              <w:bottom w:val="nil"/>
              <w:right w:val="nil"/>
            </w:tcBorders>
            <w:tcMar>
              <w:top w:w="0" w:type="dxa"/>
              <w:left w:w="62" w:type="dxa"/>
              <w:bottom w:w="0" w:type="dxa"/>
              <w:right w:w="62" w:type="dxa"/>
            </w:tcMar>
          </w:tcPr>
          <w:p w:rsidR="00000000" w:rsidP="00F43402">
            <w:pPr>
              <w:pStyle w:val="BodyText"/>
              <w:rPr>
                <w:lang w:val="en-NZ"/>
              </w:rPr>
            </w:pPr>
            <w:r w:rsidRPr="00F43402">
              <w:rPr>
                <w:rStyle w:val="SpecialBold"/>
              </w:rPr>
              <w:t>PPE includes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F43402" w:rsidP="00F43402">
            <w:pPr>
              <w:pStyle w:val="ListBullet"/>
            </w:pPr>
            <w:r w:rsidRPr="00F43402">
              <w:t xml:space="preserve">face shields, goggles and safety glasses </w:t>
            </w:r>
          </w:p>
          <w:p w:rsidR="00000000" w:rsidRPr="00F43402" w:rsidP="00F43402">
            <w:pPr>
              <w:pStyle w:val="ListBullet"/>
            </w:pPr>
            <w:r w:rsidRPr="00F43402">
              <w:t>hearing protection</w:t>
            </w:r>
          </w:p>
          <w:p w:rsidR="00000000" w:rsidRPr="00F43402" w:rsidP="00F43402">
            <w:pPr>
              <w:pStyle w:val="ListBullet"/>
            </w:pPr>
            <w:r w:rsidRPr="00F43402">
              <w:t xml:space="preserve">dust masks and respirators </w:t>
            </w:r>
          </w:p>
          <w:p w:rsidR="00000000" w:rsidRPr="00F43402" w:rsidP="00F43402">
            <w:pPr>
              <w:pStyle w:val="ListBullet"/>
            </w:pPr>
            <w:r w:rsidRPr="00F43402">
              <w:t xml:space="preserve">high visibility vests </w:t>
            </w:r>
            <w:r w:rsidRPr="00F43402">
              <w:t xml:space="preserve">or clothing </w:t>
            </w:r>
          </w:p>
          <w:p w:rsidR="00000000" w:rsidRPr="00F43402" w:rsidP="00F43402">
            <w:pPr>
              <w:pStyle w:val="ListBullet"/>
            </w:pPr>
            <w:r w:rsidRPr="00F43402">
              <w:t xml:space="preserve">head protection </w:t>
            </w:r>
          </w:p>
          <w:p w:rsidR="00000000" w:rsidRPr="00F43402" w:rsidP="00F43402">
            <w:pPr>
              <w:pStyle w:val="ListBullet"/>
            </w:pPr>
            <w:r w:rsidRPr="00F43402">
              <w:t xml:space="preserve">sun protection, hats and sun screen </w:t>
            </w:r>
          </w:p>
          <w:p w:rsidR="00000000" w:rsidRPr="00F43402" w:rsidP="00F43402">
            <w:pPr>
              <w:pStyle w:val="ListBullet"/>
            </w:pPr>
            <w:r w:rsidRPr="00F43402">
              <w:t xml:space="preserve">gloves and knee pads </w:t>
            </w:r>
          </w:p>
          <w:p w:rsidR="00000000" w:rsidRPr="00F43402" w:rsidP="00F43402">
            <w:pPr>
              <w:pStyle w:val="ListBullet"/>
            </w:pPr>
            <w:r w:rsidRPr="00F43402">
              <w:t xml:space="preserve">safety footwear </w:t>
            </w:r>
          </w:p>
          <w:p w:rsidR="00000000" w:rsidRPr="00F43402" w:rsidP="00F43402">
            <w:pPr>
              <w:pStyle w:val="ListBullet"/>
            </w:pPr>
            <w:r w:rsidRPr="00F43402">
              <w:t xml:space="preserve">witches hats </w:t>
            </w:r>
          </w:p>
          <w:p w:rsidR="00000000" w:rsidRPr="00F43402" w:rsidP="00F43402">
            <w:pPr>
              <w:pStyle w:val="ListBullet"/>
            </w:pPr>
            <w:r w:rsidRPr="00F43402">
              <w:t xml:space="preserve">warning signs and warning tapes </w:t>
            </w:r>
          </w:p>
          <w:p w:rsidR="00000000" w:rsidRPr="00F43402" w:rsidP="00F43402">
            <w:pPr>
              <w:pStyle w:val="ListBullet"/>
            </w:pPr>
            <w:r w:rsidRPr="00F43402">
              <w:t xml:space="preserve">temporary safety barriers </w:t>
            </w:r>
          </w:p>
          <w:p w:rsidR="00000000" w:rsidRPr="00F43402" w:rsidP="00F43402">
            <w:pPr>
              <w:pStyle w:val="ListBullet"/>
            </w:pPr>
            <w:r w:rsidRPr="00F43402">
              <w:t xml:space="preserve">fire extinguisher </w:t>
            </w:r>
          </w:p>
          <w:p w:rsidR="00000000" w:rsidP="00F43402">
            <w:pPr>
              <w:pStyle w:val="ListBullet"/>
              <w:rPr>
                <w:lang w:val="en-NZ"/>
              </w:rPr>
            </w:pPr>
            <w:r w:rsidRPr="00F43402">
              <w:t>first aid kit</w:t>
            </w:r>
          </w:p>
        </w:tc>
      </w:tr>
      <w:tr w:rsidTr="00F43402">
        <w:tblPrEx>
          <w:tblW w:w="0" w:type="auto"/>
          <w:tblLayout w:type="fixed"/>
          <w:tblCellMar>
            <w:left w:w="62" w:type="dxa"/>
            <w:right w:w="62" w:type="dxa"/>
          </w:tblCellMar>
          <w:tblLook w:val="0000"/>
        </w:tblPrEx>
        <w:trPr>
          <w:trHeight w:val="3093"/>
        </w:trPr>
        <w:tc>
          <w:tcPr>
            <w:tcW w:w="2641" w:type="dxa"/>
            <w:tcBorders>
              <w:top w:val="nil"/>
              <w:left w:val="nil"/>
              <w:bottom w:val="nil"/>
              <w:right w:val="nil"/>
            </w:tcBorders>
            <w:tcMar>
              <w:top w:w="0" w:type="dxa"/>
              <w:left w:w="62" w:type="dxa"/>
              <w:bottom w:w="0" w:type="dxa"/>
              <w:right w:w="62" w:type="dxa"/>
            </w:tcMar>
          </w:tcPr>
          <w:p w:rsidR="00000000" w:rsidP="00F43402">
            <w:pPr>
              <w:pStyle w:val="BodyText"/>
              <w:rPr>
                <w:lang w:val="en-NZ"/>
              </w:rPr>
            </w:pPr>
            <w:r w:rsidRPr="00F43402">
              <w:rPr>
                <w:rStyle w:val="SpecialBold"/>
              </w:rPr>
              <w:t>Types of safes include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F43402" w:rsidP="00F43402">
            <w:pPr>
              <w:pStyle w:val="ListBullet"/>
            </w:pPr>
            <w:r w:rsidRPr="00F43402">
              <w:t>plate safes</w:t>
            </w:r>
          </w:p>
          <w:p w:rsidR="00000000" w:rsidRPr="00F43402" w:rsidP="00F43402">
            <w:pPr>
              <w:pStyle w:val="ListBullet"/>
            </w:pPr>
            <w:r w:rsidRPr="00F43402">
              <w:t>slab safes</w:t>
            </w:r>
          </w:p>
          <w:p w:rsidR="00000000" w:rsidRPr="00F43402" w:rsidP="00F43402">
            <w:pPr>
              <w:pStyle w:val="ListBullet"/>
            </w:pPr>
            <w:r w:rsidRPr="00F43402">
              <w:t>fire</w:t>
            </w:r>
          </w:p>
          <w:p w:rsidR="00000000" w:rsidRPr="00F43402" w:rsidP="00F43402">
            <w:pPr>
              <w:pStyle w:val="ListBullet"/>
            </w:pPr>
            <w:r w:rsidRPr="00F43402">
              <w:t>free standing</w:t>
            </w:r>
          </w:p>
          <w:p w:rsidR="00000000" w:rsidRPr="00F43402" w:rsidP="00F43402">
            <w:pPr>
              <w:pStyle w:val="ListBullet"/>
            </w:pPr>
            <w:r w:rsidRPr="00F43402">
              <w:t>data</w:t>
            </w:r>
          </w:p>
          <w:p w:rsidR="00000000" w:rsidRPr="00F43402" w:rsidP="00F43402">
            <w:pPr>
              <w:pStyle w:val="ListBullet"/>
            </w:pPr>
            <w:r w:rsidRPr="00F43402">
              <w:t>cash and/or jewellery</w:t>
            </w:r>
          </w:p>
          <w:p w:rsidR="00000000" w:rsidRPr="00F43402" w:rsidP="00F43402">
            <w:pPr>
              <w:pStyle w:val="ListBullet"/>
            </w:pPr>
            <w:r w:rsidRPr="00F43402">
              <w:t>under-floor</w:t>
            </w:r>
          </w:p>
          <w:p w:rsidR="00000000" w:rsidRPr="00F43402" w:rsidP="00F43402">
            <w:pPr>
              <w:pStyle w:val="ListBullet"/>
            </w:pPr>
            <w:r w:rsidRPr="00F43402">
              <w:t>wall</w:t>
            </w:r>
          </w:p>
          <w:p w:rsidR="00000000" w:rsidP="00F43402">
            <w:pPr>
              <w:pStyle w:val="ListBullet"/>
              <w:rPr>
                <w:lang w:val="en-NZ"/>
              </w:rPr>
            </w:pPr>
            <w:r w:rsidRPr="00F43402">
              <w:t>bank safes and vaults</w:t>
            </w:r>
          </w:p>
        </w:tc>
      </w:tr>
      <w:tr w:rsidTr="00F43402">
        <w:tblPrEx>
          <w:tblW w:w="0" w:type="auto"/>
          <w:tblLayout w:type="fixed"/>
          <w:tblCellMar>
            <w:left w:w="62" w:type="dxa"/>
            <w:right w:w="62" w:type="dxa"/>
          </w:tblCellMar>
          <w:tblLook w:val="0000"/>
        </w:tblPrEx>
        <w:trPr>
          <w:trHeight w:val="1488"/>
        </w:trPr>
        <w:tc>
          <w:tcPr>
            <w:tcW w:w="2641" w:type="dxa"/>
            <w:tcBorders>
              <w:top w:val="nil"/>
              <w:left w:val="nil"/>
              <w:bottom w:val="nil"/>
              <w:right w:val="nil"/>
            </w:tcBorders>
            <w:tcMar>
              <w:top w:w="0" w:type="dxa"/>
              <w:left w:w="62" w:type="dxa"/>
              <w:bottom w:w="0" w:type="dxa"/>
              <w:right w:w="62" w:type="dxa"/>
            </w:tcMar>
          </w:tcPr>
          <w:p w:rsidR="00000000" w:rsidP="00F43402">
            <w:pPr>
              <w:pStyle w:val="BodyText"/>
              <w:rPr>
                <w:lang w:val="en-NZ"/>
              </w:rPr>
            </w:pPr>
            <w:r w:rsidRPr="00F43402">
              <w:rPr>
                <w:rStyle w:val="SpecialBold"/>
              </w:rPr>
              <w:t>Lock mechanisms include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F43402" w:rsidP="00F43402">
            <w:pPr>
              <w:pStyle w:val="ListBullet"/>
            </w:pPr>
            <w:r w:rsidRPr="00F43402">
              <w:t>keylocks</w:t>
            </w:r>
          </w:p>
          <w:p w:rsidR="00000000" w:rsidRPr="00F43402" w:rsidP="00F43402">
            <w:pPr>
              <w:pStyle w:val="ListBullet"/>
            </w:pPr>
            <w:r w:rsidRPr="00F43402">
              <w:t>keyless combination locks</w:t>
            </w:r>
          </w:p>
          <w:p w:rsidR="00000000" w:rsidRPr="00F43402" w:rsidP="00F43402">
            <w:pPr>
              <w:pStyle w:val="ListBullet"/>
            </w:pPr>
            <w:r w:rsidRPr="00F43402">
              <w:t>electronic digital</w:t>
            </w:r>
          </w:p>
          <w:p w:rsidR="00000000" w:rsidP="00F43402">
            <w:pPr>
              <w:pStyle w:val="ListBullet"/>
              <w:rPr>
                <w:lang w:val="en-NZ"/>
              </w:rPr>
            </w:pPr>
            <w:r w:rsidRPr="00F43402">
              <w:t>electronic and mechanical time delay</w:t>
            </w:r>
          </w:p>
        </w:tc>
      </w:tr>
      <w:tr w:rsidTr="00F43402">
        <w:tblPrEx>
          <w:tblW w:w="0" w:type="auto"/>
          <w:tblLayout w:type="fixed"/>
          <w:tblCellMar>
            <w:left w:w="62" w:type="dxa"/>
            <w:right w:w="62" w:type="dxa"/>
          </w:tblCellMar>
          <w:tblLook w:val="0000"/>
        </w:tblPrEx>
        <w:trPr>
          <w:trHeight w:val="2794"/>
        </w:trPr>
        <w:tc>
          <w:tcPr>
            <w:tcW w:w="2641" w:type="dxa"/>
            <w:tcBorders>
              <w:top w:val="nil"/>
              <w:left w:val="nil"/>
              <w:bottom w:val="nil"/>
              <w:right w:val="nil"/>
            </w:tcBorders>
            <w:tcMar>
              <w:top w:w="0" w:type="dxa"/>
              <w:left w:w="62" w:type="dxa"/>
              <w:bottom w:w="0" w:type="dxa"/>
              <w:right w:w="62" w:type="dxa"/>
            </w:tcMar>
          </w:tcPr>
          <w:p w:rsidR="00000000" w:rsidP="00F43402">
            <w:pPr>
              <w:pStyle w:val="BodyText"/>
              <w:rPr>
                <w:lang w:val="en-NZ"/>
              </w:rPr>
            </w:pPr>
            <w:r w:rsidRPr="00F43402">
              <w:rPr>
                <w:rStyle w:val="SpecialBold"/>
              </w:rPr>
              <w:t>Appropriate sources of information include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F43402" w:rsidP="00F43402">
            <w:pPr>
              <w:pStyle w:val="ListBullet"/>
            </w:pPr>
            <w:r w:rsidRPr="00F43402">
              <w:t>catalogues</w:t>
            </w:r>
          </w:p>
          <w:p w:rsidR="00000000" w:rsidRPr="00F43402" w:rsidP="00F43402">
            <w:pPr>
              <w:pStyle w:val="ListBullet"/>
            </w:pPr>
            <w:r w:rsidRPr="00F43402">
              <w:t>manufacturer manuals</w:t>
            </w:r>
          </w:p>
          <w:p w:rsidR="00000000" w:rsidRPr="00F43402" w:rsidP="00F43402">
            <w:pPr>
              <w:pStyle w:val="ListBullet"/>
            </w:pPr>
            <w:r w:rsidRPr="00F43402">
              <w:t>drawings</w:t>
            </w:r>
          </w:p>
          <w:p w:rsidR="00000000" w:rsidRPr="00F43402" w:rsidP="00F43402">
            <w:pPr>
              <w:pStyle w:val="ListBullet"/>
            </w:pPr>
            <w:r w:rsidRPr="00F43402">
              <w:t xml:space="preserve">detailed/technical sketches </w:t>
            </w:r>
          </w:p>
          <w:p w:rsidR="00000000" w:rsidRPr="00F43402" w:rsidP="00F43402">
            <w:pPr>
              <w:pStyle w:val="ListBullet"/>
            </w:pPr>
            <w:r w:rsidRPr="00F43402">
              <w:t>associated data sheets</w:t>
            </w:r>
          </w:p>
          <w:p w:rsidR="00000000" w:rsidRPr="00F43402" w:rsidP="00F43402">
            <w:pPr>
              <w:pStyle w:val="ListBullet"/>
            </w:pPr>
            <w:r w:rsidRPr="00F43402">
              <w:t>colleagues/specialists</w:t>
            </w:r>
          </w:p>
          <w:p w:rsidR="00000000" w:rsidRPr="00F43402" w:rsidP="00F43402">
            <w:pPr>
              <w:pStyle w:val="ListBullet"/>
            </w:pPr>
            <w:r w:rsidRPr="00F43402">
              <w:t>internet</w:t>
            </w:r>
          </w:p>
          <w:p w:rsidR="00000000" w:rsidP="00F43402">
            <w:pPr>
              <w:pStyle w:val="ListBullet"/>
              <w:rPr>
                <w:lang w:val="en-NZ"/>
              </w:rPr>
            </w:pPr>
            <w:r w:rsidRPr="00F43402">
              <w:t>charts</w:t>
            </w:r>
          </w:p>
        </w:tc>
      </w:tr>
      <w:tr w:rsidTr="00F43402">
        <w:tblPrEx>
          <w:tblW w:w="0" w:type="auto"/>
          <w:tblLayout w:type="fixed"/>
          <w:tblCellMar>
            <w:left w:w="62" w:type="dxa"/>
            <w:right w:w="62" w:type="dxa"/>
          </w:tblCellMar>
          <w:tblLook w:val="0000"/>
        </w:tblPrEx>
        <w:trPr>
          <w:trHeight w:val="2184"/>
        </w:trPr>
        <w:tc>
          <w:tcPr>
            <w:tcW w:w="2641" w:type="dxa"/>
            <w:tcBorders>
              <w:top w:val="nil"/>
              <w:left w:val="nil"/>
              <w:bottom w:val="nil"/>
              <w:right w:val="nil"/>
            </w:tcBorders>
            <w:tcMar>
              <w:top w:w="0" w:type="dxa"/>
              <w:left w:w="62" w:type="dxa"/>
              <w:bottom w:w="0" w:type="dxa"/>
              <w:right w:w="62" w:type="dxa"/>
            </w:tcMar>
          </w:tcPr>
          <w:p w:rsidR="00000000" w:rsidP="00F43402">
            <w:pPr>
              <w:pStyle w:val="BodyText"/>
              <w:rPr>
                <w:lang w:val="en-NZ"/>
              </w:rPr>
            </w:pPr>
            <w:r w:rsidRPr="00F43402">
              <w:rPr>
                <w:rStyle w:val="SpecialBold"/>
              </w:rPr>
              <w:t>Customer requirements include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F43402" w:rsidP="00F43402">
            <w:pPr>
              <w:pStyle w:val="ListBullet"/>
            </w:pPr>
            <w:r w:rsidRPr="00F43402">
              <w:t>function and capabilities</w:t>
            </w:r>
          </w:p>
          <w:p w:rsidR="00000000" w:rsidRPr="00F43402" w:rsidP="00F43402">
            <w:pPr>
              <w:pStyle w:val="ListBullet"/>
            </w:pPr>
            <w:r w:rsidRPr="00F43402">
              <w:t>access issues</w:t>
            </w:r>
          </w:p>
          <w:p w:rsidR="00000000" w:rsidRPr="00F43402" w:rsidP="00F43402">
            <w:pPr>
              <w:pStyle w:val="ListBullet"/>
            </w:pPr>
            <w:r w:rsidRPr="00F43402">
              <w:t>service and maintenance requirements</w:t>
            </w:r>
          </w:p>
          <w:p w:rsidR="00000000" w:rsidRPr="00F43402" w:rsidP="00F43402">
            <w:pPr>
              <w:pStyle w:val="ListBullet"/>
            </w:pPr>
            <w:r w:rsidRPr="00F43402">
              <w:t>product operation and warranty information</w:t>
            </w:r>
          </w:p>
          <w:p w:rsidR="00000000" w:rsidRPr="00F43402" w:rsidP="00F43402">
            <w:pPr>
              <w:pStyle w:val="ListBullet"/>
            </w:pPr>
            <w:r w:rsidRPr="00F43402">
              <w:t>costings</w:t>
            </w:r>
          </w:p>
          <w:p w:rsidR="00000000" w:rsidP="00F43402">
            <w:pPr>
              <w:pStyle w:val="ListBullet"/>
              <w:rPr>
                <w:lang w:val="en-NZ"/>
              </w:rPr>
            </w:pPr>
            <w:r w:rsidRPr="00F43402">
              <w:t>maintaining security</w:t>
            </w:r>
          </w:p>
        </w:tc>
      </w:tr>
      <w:tr w:rsidTr="00F43402">
        <w:tblPrEx>
          <w:tblW w:w="0" w:type="auto"/>
          <w:tblLayout w:type="fixed"/>
          <w:tblCellMar>
            <w:left w:w="62" w:type="dxa"/>
            <w:right w:w="62" w:type="dxa"/>
          </w:tblCellMar>
          <w:tblLook w:val="0000"/>
        </w:tblPrEx>
        <w:trPr>
          <w:trHeight w:val="4131"/>
        </w:trPr>
        <w:tc>
          <w:tcPr>
            <w:tcW w:w="2641" w:type="dxa"/>
            <w:tcBorders>
              <w:top w:val="nil"/>
              <w:left w:val="nil"/>
              <w:bottom w:val="nil"/>
              <w:right w:val="nil"/>
            </w:tcBorders>
            <w:tcMar>
              <w:top w:w="0" w:type="dxa"/>
              <w:left w:w="62" w:type="dxa"/>
              <w:bottom w:w="0" w:type="dxa"/>
              <w:right w:w="62" w:type="dxa"/>
            </w:tcMar>
          </w:tcPr>
          <w:p w:rsidR="00000000" w:rsidP="00F43402">
            <w:pPr>
              <w:pStyle w:val="BodyText"/>
              <w:rPr>
                <w:lang w:val="en-NZ"/>
              </w:rPr>
            </w:pPr>
            <w:r w:rsidRPr="00F43402">
              <w:rPr>
                <w:rStyle w:val="SpecialBold"/>
              </w:rPr>
              <w:t>Other information includes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F43402" w:rsidP="00F43402">
            <w:pPr>
              <w:pStyle w:val="ListBullet"/>
            </w:pPr>
            <w:r w:rsidRPr="00F43402">
              <w:t>schedules</w:t>
            </w:r>
          </w:p>
          <w:p w:rsidR="00000000" w:rsidRPr="00F43402" w:rsidP="00F43402">
            <w:pPr>
              <w:pStyle w:val="ListBullet"/>
            </w:pPr>
            <w:r w:rsidRPr="00F43402">
              <w:t>timeframes</w:t>
            </w:r>
          </w:p>
          <w:p w:rsidR="00000000" w:rsidRPr="00F43402" w:rsidP="00F43402">
            <w:pPr>
              <w:pStyle w:val="ListBullet"/>
            </w:pPr>
            <w:r w:rsidRPr="00F43402">
              <w:t>access and site information</w:t>
            </w:r>
          </w:p>
          <w:p w:rsidR="00000000" w:rsidRPr="00F43402" w:rsidP="00F43402">
            <w:pPr>
              <w:pStyle w:val="ListBullet"/>
            </w:pPr>
            <w:r w:rsidRPr="00F43402">
              <w:t>products</w:t>
            </w:r>
          </w:p>
          <w:p w:rsidR="00000000" w:rsidRPr="00F43402" w:rsidP="00F43402">
            <w:pPr>
              <w:pStyle w:val="ListBullet"/>
            </w:pPr>
            <w:r w:rsidRPr="00F43402">
              <w:t>installation and upgrade requirements</w:t>
            </w:r>
          </w:p>
          <w:p w:rsidR="00000000" w:rsidRPr="00F43402" w:rsidP="00F43402">
            <w:pPr>
              <w:pStyle w:val="ListBullet"/>
            </w:pPr>
            <w:r w:rsidRPr="00F43402">
              <w:t>specific client requests</w:t>
            </w:r>
          </w:p>
          <w:p w:rsidR="00000000" w:rsidRPr="00F43402" w:rsidP="00F43402">
            <w:pPr>
              <w:pStyle w:val="ListBullet"/>
            </w:pPr>
            <w:r w:rsidRPr="00F43402">
              <w:t>materials</w:t>
            </w:r>
          </w:p>
          <w:p w:rsidR="00000000" w:rsidRPr="00F43402" w:rsidP="00F43402">
            <w:pPr>
              <w:pStyle w:val="ListBullet"/>
            </w:pPr>
            <w:r w:rsidRPr="00F43402">
              <w:t>costings</w:t>
            </w:r>
          </w:p>
          <w:p w:rsidR="00000000" w:rsidRPr="00F43402" w:rsidP="00F43402">
            <w:pPr>
              <w:pStyle w:val="ListBullet"/>
            </w:pPr>
            <w:r w:rsidRPr="00F43402">
              <w:t>warranties and service information</w:t>
            </w:r>
          </w:p>
          <w:p w:rsidR="00000000" w:rsidRPr="00F43402" w:rsidP="00F43402">
            <w:pPr>
              <w:pStyle w:val="ListBullet"/>
            </w:pPr>
            <w:r w:rsidRPr="00F43402">
              <w:t>legislation</w:t>
            </w:r>
          </w:p>
          <w:p w:rsidR="00000000" w:rsidRPr="00F43402" w:rsidP="00F43402">
            <w:pPr>
              <w:pStyle w:val="ListBullet"/>
            </w:pPr>
            <w:r w:rsidRPr="00F43402">
              <w:t>codes and regulatory requirements</w:t>
            </w:r>
          </w:p>
          <w:p w:rsidR="00000000" w:rsidP="00F43402">
            <w:pPr>
              <w:pStyle w:val="ListBullet"/>
              <w:rPr>
                <w:lang w:val="en-NZ"/>
              </w:rPr>
            </w:pPr>
            <w:r w:rsidRPr="00F43402">
              <w:t>WHS requirements</w:t>
            </w:r>
          </w:p>
        </w:tc>
      </w:tr>
      <w:tr w:rsidTr="00F43402">
        <w:tblPrEx>
          <w:tblW w:w="0" w:type="auto"/>
          <w:tblLayout w:type="fixed"/>
          <w:tblCellMar>
            <w:left w:w="62" w:type="dxa"/>
            <w:right w:w="62" w:type="dxa"/>
          </w:tblCellMar>
          <w:tblLook w:val="0000"/>
        </w:tblPrEx>
        <w:trPr>
          <w:trHeight w:val="2115"/>
        </w:trPr>
        <w:tc>
          <w:tcPr>
            <w:tcW w:w="2641" w:type="dxa"/>
            <w:tcBorders>
              <w:top w:val="nil"/>
              <w:left w:val="nil"/>
              <w:bottom w:val="nil"/>
              <w:right w:val="nil"/>
            </w:tcBorders>
            <w:tcMar>
              <w:top w:w="0" w:type="dxa"/>
              <w:left w:w="62" w:type="dxa"/>
              <w:bottom w:w="0" w:type="dxa"/>
              <w:right w:w="62" w:type="dxa"/>
            </w:tcMar>
          </w:tcPr>
          <w:p w:rsidR="00000000" w:rsidP="00F43402">
            <w:pPr>
              <w:pStyle w:val="BodyText"/>
              <w:rPr>
                <w:lang w:val="en-NZ"/>
              </w:rPr>
            </w:pPr>
            <w:r w:rsidRPr="00F43402">
              <w:rPr>
                <w:rStyle w:val="SpecialBold"/>
              </w:rPr>
              <w:t>Risks and hazards include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F43402" w:rsidP="00F43402">
            <w:pPr>
              <w:pStyle w:val="ListBullet"/>
            </w:pPr>
            <w:r w:rsidRPr="00F43402">
              <w:t>safe construction</w:t>
            </w:r>
          </w:p>
          <w:p w:rsidR="00000000" w:rsidRPr="00F43402" w:rsidP="00F43402">
            <w:pPr>
              <w:pStyle w:val="ListBullet"/>
            </w:pPr>
            <w:r w:rsidRPr="00F43402">
              <w:t>chemical and material hazards</w:t>
            </w:r>
          </w:p>
          <w:p w:rsidR="00000000" w:rsidRPr="00F43402" w:rsidP="00F43402">
            <w:pPr>
              <w:pStyle w:val="ListBullet"/>
            </w:pPr>
            <w:r w:rsidRPr="00F43402">
              <w:t>lifting and handling</w:t>
            </w:r>
          </w:p>
          <w:p w:rsidR="00000000" w:rsidRPr="00F43402" w:rsidP="00F43402">
            <w:pPr>
              <w:pStyle w:val="ListBullet"/>
            </w:pPr>
            <w:r w:rsidRPr="00F43402">
              <w:t>use of mechanical and fuel gas cutting equipment</w:t>
            </w:r>
          </w:p>
          <w:p w:rsidR="00000000" w:rsidP="00F43402">
            <w:pPr>
              <w:pStyle w:val="ListBullet"/>
              <w:rPr>
                <w:lang w:val="en-NZ"/>
              </w:rPr>
            </w:pPr>
            <w:r w:rsidRPr="00F43402">
              <w:t xml:space="preserve">exposure to asbestos, dust, noise, live power, vermin, water and glass fibre </w:t>
            </w:r>
          </w:p>
        </w:tc>
      </w:tr>
      <w:tr w:rsidTr="00F43402">
        <w:tblPrEx>
          <w:tblW w:w="0" w:type="auto"/>
          <w:tblLayout w:type="fixed"/>
          <w:tblCellMar>
            <w:left w:w="62" w:type="dxa"/>
            <w:right w:w="62" w:type="dxa"/>
          </w:tblCellMar>
          <w:tblLook w:val="0000"/>
        </w:tblPrEx>
        <w:trPr>
          <w:trHeight w:val="1574"/>
        </w:trPr>
        <w:tc>
          <w:tcPr>
            <w:tcW w:w="2641" w:type="dxa"/>
            <w:tcBorders>
              <w:top w:val="nil"/>
              <w:left w:val="nil"/>
              <w:bottom w:val="nil"/>
              <w:right w:val="nil"/>
            </w:tcBorders>
            <w:tcMar>
              <w:top w:w="0" w:type="dxa"/>
              <w:left w:w="62" w:type="dxa"/>
              <w:bottom w:w="0" w:type="dxa"/>
              <w:right w:w="62" w:type="dxa"/>
            </w:tcMar>
          </w:tcPr>
          <w:p w:rsidR="00000000" w:rsidP="00F43402">
            <w:pPr>
              <w:pStyle w:val="BodyText"/>
              <w:rPr>
                <w:lang w:val="en-NZ"/>
              </w:rPr>
            </w:pPr>
            <w:r w:rsidRPr="00F43402">
              <w:rPr>
                <w:rStyle w:val="SpecialBold"/>
              </w:rPr>
              <w:t xml:space="preserve">Tools and equipment include one (1) or more of the following: </w:t>
            </w:r>
          </w:p>
        </w:tc>
        <w:tc>
          <w:tcPr>
            <w:tcW w:w="6501" w:type="dxa"/>
            <w:tcBorders>
              <w:top w:val="nil"/>
              <w:left w:val="nil"/>
              <w:bottom w:val="nil"/>
              <w:right w:val="nil"/>
            </w:tcBorders>
            <w:tcMar>
              <w:top w:w="0" w:type="dxa"/>
              <w:left w:w="62" w:type="dxa"/>
              <w:bottom w:w="0" w:type="dxa"/>
              <w:right w:w="62" w:type="dxa"/>
            </w:tcMar>
          </w:tcPr>
          <w:p w:rsidR="00000000" w:rsidRPr="00F43402" w:rsidP="00F43402">
            <w:pPr>
              <w:pStyle w:val="ListBullet"/>
            </w:pPr>
            <w:r w:rsidRPr="00F43402">
              <w:t>hand tools relating to safe service and repair</w:t>
            </w:r>
          </w:p>
          <w:p w:rsidR="00000000" w:rsidRPr="00F43402" w:rsidP="00F43402">
            <w:pPr>
              <w:pStyle w:val="ListBullet"/>
            </w:pPr>
            <w:r w:rsidRPr="00F43402">
              <w:t>power tools and accessories</w:t>
            </w:r>
          </w:p>
          <w:p w:rsidR="00000000" w:rsidRPr="00F43402" w:rsidP="00F43402">
            <w:pPr>
              <w:pStyle w:val="ListBullet"/>
            </w:pPr>
            <w:r w:rsidRPr="00F43402">
              <w:t>drop sheets and vacuum cleaner</w:t>
            </w:r>
          </w:p>
          <w:p w:rsidR="00000000" w:rsidP="00F43402">
            <w:pPr>
              <w:pStyle w:val="ListBullet"/>
              <w:rPr>
                <w:lang w:val="en-NZ"/>
              </w:rPr>
            </w:pPr>
            <w:r w:rsidRPr="00F43402">
              <w:t>various</w:t>
            </w:r>
            <w:r w:rsidRPr="00F43402">
              <w:t xml:space="preserve"> change keys to suit the safe</w:t>
            </w:r>
          </w:p>
        </w:tc>
      </w:tr>
      <w:tr w:rsidTr="00F43402">
        <w:tblPrEx>
          <w:tblW w:w="0" w:type="auto"/>
          <w:tblLayout w:type="fixed"/>
          <w:tblCellMar>
            <w:left w:w="62" w:type="dxa"/>
            <w:right w:w="62" w:type="dxa"/>
          </w:tblCellMar>
          <w:tblLook w:val="0000"/>
        </w:tblPrEx>
        <w:trPr>
          <w:trHeight w:val="2184"/>
        </w:trPr>
        <w:tc>
          <w:tcPr>
            <w:tcW w:w="2641" w:type="dxa"/>
            <w:tcBorders>
              <w:top w:val="nil"/>
              <w:left w:val="nil"/>
              <w:bottom w:val="nil"/>
              <w:right w:val="nil"/>
            </w:tcBorders>
            <w:tcMar>
              <w:top w:w="0" w:type="dxa"/>
              <w:left w:w="62" w:type="dxa"/>
              <w:bottom w:w="0" w:type="dxa"/>
              <w:right w:w="62" w:type="dxa"/>
            </w:tcMar>
          </w:tcPr>
          <w:p w:rsidR="00000000" w:rsidP="00F43402">
            <w:pPr>
              <w:pStyle w:val="BodyText"/>
              <w:rPr>
                <w:lang w:val="en-NZ"/>
              </w:rPr>
            </w:pPr>
            <w:r w:rsidRPr="00F43402">
              <w:rPr>
                <w:rStyle w:val="SpecialBold"/>
              </w:rPr>
              <w:t>Materials and consumables include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F43402" w:rsidP="00F43402">
            <w:pPr>
              <w:pStyle w:val="ListBullet"/>
            </w:pPr>
            <w:r w:rsidRPr="00F43402">
              <w:t>lubricants</w:t>
            </w:r>
          </w:p>
          <w:p w:rsidR="00000000" w:rsidRPr="00F43402" w:rsidP="00F43402">
            <w:pPr>
              <w:pStyle w:val="ListBullet"/>
            </w:pPr>
            <w:r w:rsidRPr="00F43402">
              <w:t>adhesives and sealants</w:t>
            </w:r>
          </w:p>
          <w:p w:rsidR="00000000" w:rsidRPr="00F43402" w:rsidP="00F43402">
            <w:pPr>
              <w:pStyle w:val="ListBullet"/>
            </w:pPr>
            <w:r w:rsidRPr="00F43402">
              <w:t>cleaning materials</w:t>
            </w:r>
          </w:p>
          <w:p w:rsidR="00000000" w:rsidRPr="00F43402" w:rsidP="00F43402">
            <w:pPr>
              <w:pStyle w:val="ListBullet"/>
            </w:pPr>
            <w:r w:rsidRPr="00F43402">
              <w:t xml:space="preserve">wire and cable </w:t>
            </w:r>
          </w:p>
          <w:p w:rsidR="00000000" w:rsidRPr="00F43402" w:rsidP="00F43402">
            <w:pPr>
              <w:pStyle w:val="ListBullet"/>
            </w:pPr>
            <w:r w:rsidRPr="00F43402">
              <w:t xml:space="preserve">security seals and replacement barrier materials </w:t>
            </w:r>
          </w:p>
          <w:p w:rsidR="00000000" w:rsidP="00F43402">
            <w:pPr>
              <w:pStyle w:val="ListBullet"/>
              <w:rPr>
                <w:lang w:val="en-NZ"/>
              </w:rPr>
            </w:pPr>
            <w:r w:rsidRPr="00F43402">
              <w:t xml:space="preserve">replacement parts </w:t>
            </w:r>
          </w:p>
        </w:tc>
      </w:tr>
      <w:tr w:rsidTr="00F43402">
        <w:tblPrEx>
          <w:tblW w:w="0" w:type="auto"/>
          <w:tblLayout w:type="fixed"/>
          <w:tblCellMar>
            <w:left w:w="62" w:type="dxa"/>
            <w:right w:w="62" w:type="dxa"/>
          </w:tblCellMar>
          <w:tblLook w:val="0000"/>
        </w:tblPrEx>
        <w:trPr>
          <w:trHeight w:val="2184"/>
        </w:trPr>
        <w:tc>
          <w:tcPr>
            <w:tcW w:w="2641" w:type="dxa"/>
            <w:tcBorders>
              <w:top w:val="nil"/>
              <w:left w:val="nil"/>
              <w:bottom w:val="nil"/>
              <w:right w:val="nil"/>
            </w:tcBorders>
            <w:tcMar>
              <w:top w:w="0" w:type="dxa"/>
              <w:left w:w="62" w:type="dxa"/>
              <w:bottom w:w="0" w:type="dxa"/>
              <w:right w:w="62" w:type="dxa"/>
            </w:tcMar>
          </w:tcPr>
          <w:p w:rsidR="00000000" w:rsidP="00F43402">
            <w:pPr>
              <w:pStyle w:val="BodyText"/>
              <w:rPr>
                <w:lang w:val="en-NZ"/>
              </w:rPr>
            </w:pPr>
            <w:r w:rsidRPr="00F43402">
              <w:rPr>
                <w:rStyle w:val="SpecialBold"/>
              </w:rPr>
              <w:t>Documentation includes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F43402" w:rsidP="00F43402">
            <w:pPr>
              <w:pStyle w:val="ListBullet"/>
            </w:pPr>
            <w:r w:rsidRPr="00F43402">
              <w:t>historical records</w:t>
            </w:r>
          </w:p>
          <w:p w:rsidR="00000000" w:rsidRPr="00F43402" w:rsidP="00F43402">
            <w:pPr>
              <w:pStyle w:val="ListBullet"/>
            </w:pPr>
            <w:r w:rsidRPr="00F43402">
              <w:t>procedures and measurements for opening specific safes</w:t>
            </w:r>
          </w:p>
          <w:p w:rsidR="00000000" w:rsidRPr="00F43402" w:rsidP="00F43402">
            <w:pPr>
              <w:pStyle w:val="ListBullet"/>
            </w:pPr>
            <w:r w:rsidRPr="00F43402">
              <w:t>job sheets</w:t>
            </w:r>
          </w:p>
          <w:p w:rsidR="00000000" w:rsidRPr="00F43402" w:rsidP="00F43402">
            <w:pPr>
              <w:pStyle w:val="ListBullet"/>
            </w:pPr>
            <w:r w:rsidRPr="00F43402">
              <w:t>invoices</w:t>
            </w:r>
          </w:p>
          <w:p w:rsidR="00000000" w:rsidRPr="00F43402" w:rsidP="00F43402">
            <w:pPr>
              <w:pStyle w:val="ListBullet"/>
            </w:pPr>
            <w:r w:rsidRPr="00F43402">
              <w:t>warranties</w:t>
            </w:r>
          </w:p>
        </w:tc>
      </w:tr>
    </w:tbl>
    <w:p w:rsidR="00000000" w:rsidRPr="00F43402" w:rsidP="00F43402">
      <w:pPr>
        <w:pStyle w:val="BodyText"/>
      </w:pPr>
    </w:p>
    <w:p w:rsidR="00000000" w:rsidRPr="00F43402" w:rsidP="00F43402">
      <w:pPr>
        <w:pStyle w:val="AllowPageBreak"/>
      </w:pPr>
    </w:p>
    <w:p w:rsidR="00000000" w:rsidRPr="00F43402" w:rsidP="00F43402">
      <w:pPr>
        <w:pStyle w:val="Heading1"/>
      </w:pPr>
      <w:bookmarkStart w:id="8" w:name="O_951047"/>
      <w:bookmarkEnd w:id="8"/>
      <w:r w:rsidRPr="00F43402">
        <w:t>Unit Mapping Information</w:t>
      </w:r>
    </w:p>
    <w:p w:rsidR="00000000" w:rsidRPr="00F43402" w:rsidP="0075733A">
      <w:pPr>
        <w:pStyle w:val="BodyText"/>
      </w:pPr>
      <w:r w:rsidRPr="00F43402">
        <w:t xml:space="preserve">Release 1. Supersedes and is equivalent to MEM20011A Service and repair fire and security containers </w:t>
      </w:r>
    </w:p>
    <w:p w:rsidR="00000000" w:rsidRPr="00F43402" w:rsidP="00F43402">
      <w:pPr>
        <w:pStyle w:val="Heading1"/>
      </w:pPr>
      <w:bookmarkStart w:id="9" w:name="O_951040"/>
      <w:bookmarkEnd w:id="9"/>
      <w:r w:rsidRPr="00F43402">
        <w:t>Links</w:t>
      </w:r>
    </w:p>
    <w:p w:rsidR="00000000" w:rsidRPr="00F43402" w:rsidP="0075733A">
      <w:pPr>
        <w:pStyle w:val="BodyText"/>
      </w:pPr>
      <w:r w:rsidRPr="00F43402">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AD11CD">
        <w:rPr>
          <w:rStyle w:val="Hyperlink"/>
        </w:rPr>
        <w:t>https://vetnet.gov.au/Pages/TrainingDocs.aspx?q=b7050d37-5fd0-4740-8f7d-3b7a49c10bb2</w:t>
      </w:r>
      <w:r>
        <w:fldChar w:fldCharType="end"/>
      </w:r>
    </w:p>
    <w:p w:rsidR="00000000" w:rsidRPr="00F43402" w:rsidP="00F43402"/>
    <w:sectPr w:rsidSect="00F4340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4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402" w:rsidRPr="0075733A" w:rsidP="007573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4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33A" w:rsidP="00F434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5733A" w:rsidP="00F43402">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5733A" w:rsidP="00F4340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4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33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43402" w:rsidRPr="0075733A" w:rsidP="0075733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4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733A" w:rsidRPr="002D2AF8" w:rsidP="00F43402">
    <w:pPr>
      <w:pStyle w:val="Header"/>
      <w:framePr w:wrap="around"/>
    </w:pPr>
    <w:r>
      <w:fldChar w:fldCharType="begin"/>
    </w:r>
    <w:r>
      <w:instrText xml:space="preserve"> TITLE   \* MERGEFORMAT </w:instrText>
    </w:r>
    <w:r>
      <w:fldChar w:fldCharType="separate"/>
    </w:r>
    <w:r>
      <w:t>MEM20011 Service and repair fire and security containers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March 2021</w:t>
    </w:r>
    <w:r>
      <w:fldChar w:fldCharType="end"/>
    </w:r>
  </w:p>
  <w:p w:rsidR="0075733A" w:rsidP="00F434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812DEB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64E54A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34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3402"/>
    <w:pPr>
      <w:spacing w:before="360" w:after="60"/>
      <w:outlineLvl w:val="0"/>
    </w:pPr>
    <w:rPr>
      <w:sz w:val="32"/>
    </w:rPr>
  </w:style>
  <w:style w:type="paragraph" w:styleId="Heading2">
    <w:name w:val="heading 2"/>
    <w:basedOn w:val="HeadingBase"/>
    <w:next w:val="BodyText"/>
    <w:link w:val="Heading2Char"/>
    <w:qFormat/>
    <w:rsid w:val="00F43402"/>
    <w:pPr>
      <w:keepLines/>
      <w:spacing w:before="240" w:after="120"/>
      <w:outlineLvl w:val="1"/>
    </w:pPr>
    <w:rPr>
      <w:sz w:val="28"/>
      <w:szCs w:val="40"/>
    </w:rPr>
  </w:style>
  <w:style w:type="paragraph" w:styleId="Heading3">
    <w:name w:val="heading 3"/>
    <w:basedOn w:val="HeadingBase"/>
    <w:next w:val="BodyText"/>
    <w:link w:val="Heading3Char"/>
    <w:qFormat/>
    <w:rsid w:val="00F43402"/>
    <w:pPr>
      <w:spacing w:before="180" w:after="120"/>
      <w:outlineLvl w:val="2"/>
    </w:pPr>
    <w:rPr>
      <w:spacing w:val="-10"/>
      <w:kern w:val="32"/>
    </w:rPr>
  </w:style>
  <w:style w:type="paragraph" w:styleId="Heading4">
    <w:name w:val="heading 4"/>
    <w:basedOn w:val="HeadingBase"/>
    <w:next w:val="BodyText"/>
    <w:link w:val="Heading4Char"/>
    <w:qFormat/>
    <w:rsid w:val="00F43402"/>
    <w:pPr>
      <w:spacing w:before="160" w:after="120"/>
      <w:outlineLvl w:val="3"/>
    </w:pPr>
    <w:rPr>
      <w:sz w:val="22"/>
    </w:rPr>
  </w:style>
  <w:style w:type="paragraph" w:styleId="Heading5">
    <w:name w:val="heading 5"/>
    <w:basedOn w:val="HeadingBase"/>
    <w:next w:val="Normal"/>
    <w:link w:val="Heading5Char"/>
    <w:qFormat/>
    <w:rsid w:val="00F43402"/>
    <w:pPr>
      <w:spacing w:before="80"/>
      <w:outlineLvl w:val="4"/>
    </w:pPr>
    <w:rPr>
      <w:color w:val="918585"/>
      <w:sz w:val="20"/>
    </w:rPr>
  </w:style>
  <w:style w:type="paragraph" w:styleId="Heading6">
    <w:name w:val="heading 6"/>
    <w:basedOn w:val="HeadingBase"/>
    <w:next w:val="Normal"/>
    <w:link w:val="Heading6Char"/>
    <w:qFormat/>
    <w:rsid w:val="00F43402"/>
    <w:pPr>
      <w:spacing w:before="60"/>
      <w:outlineLvl w:val="5"/>
    </w:pPr>
    <w:rPr>
      <w:color w:val="918585"/>
      <w:sz w:val="20"/>
    </w:rPr>
  </w:style>
  <w:style w:type="paragraph" w:styleId="Heading7">
    <w:name w:val="heading 7"/>
    <w:basedOn w:val="Normal"/>
    <w:next w:val="Normal"/>
    <w:link w:val="Heading7Char"/>
    <w:qFormat/>
    <w:rsid w:val="00F43402"/>
    <w:pPr>
      <w:ind w:left="720"/>
      <w:outlineLvl w:val="6"/>
    </w:pPr>
    <w:rPr>
      <w:i/>
    </w:rPr>
  </w:style>
  <w:style w:type="paragraph" w:styleId="Heading8">
    <w:name w:val="heading 8"/>
    <w:basedOn w:val="Normal"/>
    <w:next w:val="Normal"/>
    <w:link w:val="Heading8Char"/>
    <w:qFormat/>
    <w:rsid w:val="00F43402"/>
    <w:pPr>
      <w:ind w:left="720"/>
      <w:outlineLvl w:val="7"/>
    </w:pPr>
    <w:rPr>
      <w:i/>
    </w:rPr>
  </w:style>
  <w:style w:type="paragraph" w:styleId="Heading9">
    <w:name w:val="heading 9"/>
    <w:basedOn w:val="Normal"/>
    <w:next w:val="Normal"/>
    <w:link w:val="Heading9Char"/>
    <w:qFormat/>
    <w:rsid w:val="00F43402"/>
    <w:pPr>
      <w:ind w:left="720"/>
      <w:outlineLvl w:val="8"/>
    </w:pPr>
    <w:rPr>
      <w:i/>
    </w:rPr>
  </w:style>
  <w:style w:type="character" w:default="1" w:styleId="DefaultParagraphFont">
    <w:name w:val="Default Paragraph Font"/>
    <w:uiPriority w:val="1"/>
    <w:unhideWhenUsed/>
    <w:rsid w:val="00F434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3402"/>
  </w:style>
  <w:style w:type="character" w:customStyle="1" w:styleId="Heading1Char">
    <w:name w:val="Heading 1 Char"/>
    <w:basedOn w:val="DefaultParagraphFont"/>
    <w:link w:val="Heading1"/>
    <w:rsid w:val="00F43402"/>
    <w:rPr>
      <w:rFonts w:ascii="Times New Roman" w:eastAsia="Times New Roman" w:hAnsi="Times New Roman" w:cs="Times New Roman"/>
      <w:b/>
      <w:sz w:val="32"/>
      <w:szCs w:val="20"/>
      <w:lang w:eastAsia="en-US"/>
    </w:rPr>
  </w:style>
  <w:style w:type="paragraph" w:styleId="BodyText">
    <w:name w:val="Body Text"/>
    <w:basedOn w:val="Normal"/>
    <w:link w:val="BodyTextChar"/>
    <w:rsid w:val="00F4340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43402"/>
    <w:rPr>
      <w:rFonts w:ascii="Times New Roman" w:eastAsia="Times New Roman" w:hAnsi="Times New Roman" w:cs="Times New Roman"/>
      <w:sz w:val="24"/>
      <w:lang w:eastAsia="en-US"/>
    </w:rPr>
  </w:style>
  <w:style w:type="paragraph" w:styleId="ListBullet">
    <w:name w:val="List Bullet"/>
    <w:basedOn w:val="List"/>
    <w:rsid w:val="00F43402"/>
    <w:pPr>
      <w:numPr>
        <w:numId w:val="11"/>
      </w:numPr>
      <w:tabs>
        <w:tab w:val="clear" w:pos="340"/>
      </w:tabs>
      <w:spacing w:before="40" w:after="40"/>
    </w:pPr>
  </w:style>
  <w:style w:type="character" w:customStyle="1" w:styleId="SpecialBold">
    <w:name w:val="Special Bold"/>
    <w:basedOn w:val="DefaultParagraphFont"/>
    <w:rsid w:val="00F43402"/>
    <w:rPr>
      <w:b/>
      <w:spacing w:val="0"/>
    </w:rPr>
  </w:style>
  <w:style w:type="paragraph" w:customStyle="1" w:styleId="SuperHeading">
    <w:name w:val="SuperHeading"/>
    <w:basedOn w:val="Normal"/>
    <w:rsid w:val="00F43402"/>
    <w:pPr>
      <w:spacing w:before="240" w:after="120"/>
      <w:outlineLvl w:val="0"/>
    </w:pPr>
    <w:rPr>
      <w:rFonts w:ascii="Times New Roman" w:hAnsi="Times New Roman"/>
      <w:b/>
      <w:sz w:val="32"/>
    </w:rPr>
  </w:style>
  <w:style w:type="paragraph" w:customStyle="1" w:styleId="AllowPageBreak">
    <w:name w:val="AllowPageBreak"/>
    <w:rsid w:val="00F4340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434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34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34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34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34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34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34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3402"/>
    <w:rPr>
      <w:rFonts w:ascii="Courier New" w:eastAsia="Times New Roman" w:hAnsi="Courier New" w:cs="Times New Roman"/>
      <w:i/>
      <w:szCs w:val="20"/>
      <w:lang w:eastAsia="en-US"/>
    </w:rPr>
  </w:style>
  <w:style w:type="paragraph" w:customStyle="1" w:styleId="HeadingBase">
    <w:name w:val="Heading Base"/>
    <w:rsid w:val="00F434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3402"/>
    <w:pPr>
      <w:tabs>
        <w:tab w:val="right" w:leader="dot" w:pos="9072"/>
      </w:tabs>
      <w:ind w:left="567"/>
    </w:pPr>
    <w:rPr>
      <w:szCs w:val="22"/>
    </w:rPr>
  </w:style>
  <w:style w:type="paragraph" w:customStyle="1" w:styleId="TOCBase">
    <w:name w:val="TOC Base"/>
    <w:rsid w:val="00F434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3402"/>
    <w:pPr>
      <w:tabs>
        <w:tab w:val="right" w:leader="dot" w:pos="9072"/>
      </w:tabs>
      <w:spacing w:before="40" w:after="40"/>
      <w:ind w:left="284"/>
    </w:pPr>
    <w:rPr>
      <w:rFonts w:ascii="Times New Roman" w:hAnsi="Times New Roman"/>
    </w:rPr>
  </w:style>
  <w:style w:type="paragraph" w:styleId="TOC1">
    <w:name w:val="toc 1"/>
    <w:basedOn w:val="TOCBase"/>
    <w:next w:val="Normal"/>
    <w:rsid w:val="00F4340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34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3402"/>
    <w:rPr>
      <w:rFonts w:ascii="Times New Roman" w:eastAsia="Times New Roman" w:hAnsi="Times New Roman" w:cs="Times New Roman"/>
      <w:sz w:val="16"/>
      <w:lang w:eastAsia="en-US"/>
    </w:rPr>
  </w:style>
  <w:style w:type="paragraph" w:styleId="Title">
    <w:name w:val="Title"/>
    <w:basedOn w:val="HeadingBase"/>
    <w:link w:val="TitleChar"/>
    <w:qFormat/>
    <w:rsid w:val="00F43402"/>
    <w:pPr>
      <w:spacing w:before="5040"/>
      <w:jc w:val="center"/>
    </w:pPr>
    <w:rPr>
      <w:sz w:val="48"/>
      <w:szCs w:val="72"/>
      <w:lang w:val="en-US"/>
    </w:rPr>
  </w:style>
  <w:style w:type="character" w:customStyle="1" w:styleId="TitleChar">
    <w:name w:val="Title Char"/>
    <w:basedOn w:val="DefaultParagraphFont"/>
    <w:link w:val="Title"/>
    <w:rsid w:val="00F434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3402"/>
    <w:pPr>
      <w:tabs>
        <w:tab w:val="left" w:pos="3600"/>
        <w:tab w:val="left" w:pos="3958"/>
      </w:tabs>
    </w:pPr>
  </w:style>
  <w:style w:type="paragraph" w:styleId="List">
    <w:name w:val="List"/>
    <w:basedOn w:val="BodyText"/>
    <w:next w:val="BodyText"/>
    <w:rsid w:val="00F43402"/>
    <w:pPr>
      <w:tabs>
        <w:tab w:val="left" w:pos="340"/>
      </w:tabs>
      <w:spacing w:before="60" w:after="60"/>
      <w:ind w:left="340" w:hanging="340"/>
    </w:pPr>
  </w:style>
  <w:style w:type="paragraph" w:customStyle="1" w:styleId="Note">
    <w:name w:val="Note"/>
    <w:basedOn w:val="BodyText"/>
    <w:rsid w:val="00F434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3402"/>
    <w:pPr>
      <w:framePr w:wrap="auto" w:hAnchor="text" w:y="6049"/>
    </w:pPr>
    <w:rPr>
      <w:color w:val="000000"/>
      <w:sz w:val="40"/>
    </w:rPr>
  </w:style>
  <w:style w:type="paragraph" w:customStyle="1" w:styleId="TOCTitle">
    <w:name w:val="TOCTitle"/>
    <w:basedOn w:val="Heading1"/>
    <w:rsid w:val="00F43402"/>
    <w:pPr>
      <w:spacing w:after="240"/>
      <w:jc w:val="center"/>
      <w:outlineLvl w:val="9"/>
    </w:pPr>
    <w:rPr>
      <w:caps/>
    </w:rPr>
  </w:style>
  <w:style w:type="paragraph" w:customStyle="1" w:styleId="Version">
    <w:name w:val="Version"/>
    <w:rsid w:val="00F4340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43402"/>
    <w:pPr>
      <w:numPr>
        <w:numId w:val="12"/>
      </w:numPr>
      <w:tabs>
        <w:tab w:val="clear" w:pos="680"/>
      </w:tabs>
    </w:pPr>
  </w:style>
  <w:style w:type="paragraph" w:styleId="Index1">
    <w:name w:val="index 1"/>
    <w:basedOn w:val="Normal"/>
    <w:next w:val="Normal"/>
    <w:semiHidden/>
    <w:rsid w:val="00F43402"/>
    <w:pPr>
      <w:keepNext w:val="0"/>
      <w:tabs>
        <w:tab w:val="right" w:pos="4176"/>
      </w:tabs>
      <w:ind w:left="198" w:hanging="198"/>
    </w:pPr>
    <w:rPr>
      <w:rFonts w:ascii="Garamond" w:hAnsi="Garamond"/>
    </w:rPr>
  </w:style>
  <w:style w:type="paragraph" w:styleId="IndexHeading">
    <w:name w:val="index heading"/>
    <w:basedOn w:val="Normal"/>
    <w:next w:val="Index1"/>
    <w:semiHidden/>
    <w:rsid w:val="00F43402"/>
    <w:pPr>
      <w:spacing w:before="120" w:after="120"/>
    </w:pPr>
    <w:rPr>
      <w:rFonts w:ascii="Arial" w:hAnsi="Arial"/>
      <w:b/>
      <w:color w:val="918585"/>
      <w:sz w:val="24"/>
    </w:rPr>
  </w:style>
  <w:style w:type="paragraph" w:styleId="Header">
    <w:name w:val="header"/>
    <w:basedOn w:val="Normal"/>
    <w:link w:val="HeaderChar"/>
    <w:rsid w:val="00F434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3402"/>
    <w:rPr>
      <w:rFonts w:ascii="Times New Roman" w:eastAsia="Times New Roman" w:hAnsi="Times New Roman" w:cs="Times New Roman"/>
      <w:sz w:val="16"/>
      <w:szCs w:val="20"/>
      <w:lang w:val="en-GB" w:eastAsia="en-US"/>
    </w:rPr>
  </w:style>
  <w:style w:type="paragraph" w:customStyle="1" w:styleId="Chapter">
    <w:name w:val="Chapter"/>
    <w:basedOn w:val="Normal"/>
    <w:rsid w:val="00F43402"/>
    <w:pPr>
      <w:spacing w:before="240"/>
    </w:pPr>
    <w:rPr>
      <w:rFonts w:ascii="Times New Roman" w:hAnsi="Times New Roman"/>
      <w:smallCaps/>
      <w:spacing w:val="80"/>
      <w:sz w:val="28"/>
    </w:rPr>
  </w:style>
  <w:style w:type="paragraph" w:customStyle="1" w:styleId="InChapter">
    <w:name w:val="InChapter"/>
    <w:basedOn w:val="Heading3"/>
    <w:rsid w:val="00F43402"/>
    <w:pPr>
      <w:spacing w:after="240"/>
      <w:outlineLvl w:val="9"/>
    </w:pPr>
    <w:rPr>
      <w:noProof/>
    </w:rPr>
  </w:style>
  <w:style w:type="paragraph" w:styleId="Index2">
    <w:name w:val="index 2"/>
    <w:basedOn w:val="Normal"/>
    <w:next w:val="Normal"/>
    <w:semiHidden/>
    <w:rsid w:val="00F43402"/>
    <w:pPr>
      <w:tabs>
        <w:tab w:val="right" w:pos="4176"/>
      </w:tabs>
      <w:ind w:left="568" w:hanging="284"/>
    </w:pPr>
    <w:rPr>
      <w:rFonts w:ascii="Garamond" w:hAnsi="Garamond"/>
    </w:rPr>
  </w:style>
  <w:style w:type="paragraph" w:customStyle="1" w:styleId="Byline">
    <w:name w:val="Byline"/>
    <w:rsid w:val="00F434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3402"/>
    <w:pPr>
      <w:tabs>
        <w:tab w:val="clear" w:pos="3600"/>
        <w:tab w:val="clear" w:pos="3958"/>
      </w:tabs>
      <w:jc w:val="right"/>
    </w:pPr>
  </w:style>
  <w:style w:type="character" w:styleId="Emphasis">
    <w:name w:val="Emphasis"/>
    <w:basedOn w:val="DefaultParagraphFont"/>
    <w:qFormat/>
    <w:rsid w:val="00F43402"/>
    <w:rPr>
      <w:i/>
    </w:rPr>
  </w:style>
  <w:style w:type="paragraph" w:styleId="Caption">
    <w:name w:val="caption"/>
    <w:basedOn w:val="BodyText"/>
    <w:next w:val="Normal"/>
    <w:qFormat/>
    <w:rsid w:val="00F43402"/>
    <w:pPr>
      <w:framePr w:w="2268" w:hSpace="181" w:vSpace="181" w:wrap="around" w:vAnchor="text" w:hAnchor="page" w:x="1135" w:y="285" w:anchorLock="1"/>
    </w:pPr>
    <w:rPr>
      <w:i/>
    </w:rPr>
  </w:style>
  <w:style w:type="paragraph" w:customStyle="1" w:styleId="MiniTOCTitle">
    <w:name w:val="MiniTOCTitle"/>
    <w:basedOn w:val="Heading4"/>
    <w:rsid w:val="00F43402"/>
    <w:pPr>
      <w:spacing w:before="240"/>
      <w:outlineLvl w:val="9"/>
    </w:pPr>
    <w:rPr>
      <w:noProof/>
      <w:sz w:val="24"/>
    </w:rPr>
  </w:style>
  <w:style w:type="paragraph" w:customStyle="1" w:styleId="MiniTOCItem">
    <w:name w:val="MiniTOCItem"/>
    <w:basedOn w:val="ListBullet"/>
    <w:rsid w:val="00F43402"/>
    <w:pPr>
      <w:numPr>
        <w:numId w:val="0"/>
      </w:numPr>
      <w:tabs>
        <w:tab w:val="right" w:leader="dot" w:pos="6521"/>
      </w:tabs>
      <w:spacing w:before="0" w:after="0"/>
    </w:pPr>
  </w:style>
  <w:style w:type="paragraph" w:customStyle="1" w:styleId="TOFTitle">
    <w:name w:val="TOFTitle"/>
    <w:basedOn w:val="TOCTitle"/>
    <w:rsid w:val="00F43402"/>
  </w:style>
  <w:style w:type="paragraph" w:styleId="TableofFigures">
    <w:name w:val="table of figures"/>
    <w:basedOn w:val="Normal"/>
    <w:next w:val="Normal"/>
    <w:semiHidden/>
    <w:rsid w:val="00F43402"/>
    <w:pPr>
      <w:tabs>
        <w:tab w:val="right" w:leader="dot" w:pos="9072"/>
      </w:tabs>
      <w:ind w:left="970" w:hanging="403"/>
    </w:pPr>
    <w:rPr>
      <w:rFonts w:ascii="Times New Roman" w:hAnsi="Times New Roman"/>
      <w:b/>
    </w:rPr>
  </w:style>
  <w:style w:type="paragraph" w:styleId="ListNumber">
    <w:name w:val="List Number"/>
    <w:basedOn w:val="List"/>
    <w:rsid w:val="00F43402"/>
    <w:pPr>
      <w:numPr>
        <w:numId w:val="14"/>
      </w:numPr>
      <w:tabs>
        <w:tab w:val="clear" w:pos="340"/>
      </w:tabs>
    </w:pPr>
  </w:style>
  <w:style w:type="character" w:customStyle="1" w:styleId="WingdingSymbols">
    <w:name w:val="Wingding Symbols"/>
    <w:rsid w:val="00F43402"/>
    <w:rPr>
      <w:rFonts w:ascii="Wingdings" w:hAnsi="Wingdings"/>
    </w:rPr>
  </w:style>
  <w:style w:type="paragraph" w:customStyle="1" w:styleId="TableHeading">
    <w:name w:val="Table Heading"/>
    <w:basedOn w:val="HeadingBase"/>
    <w:rsid w:val="00F43402"/>
    <w:pPr>
      <w:keepLines/>
      <w:pBdr>
        <w:bottom w:val="single" w:sz="6" w:space="1" w:color="918585"/>
      </w:pBdr>
      <w:spacing w:before="240"/>
    </w:pPr>
  </w:style>
  <w:style w:type="character" w:customStyle="1" w:styleId="HotSpot">
    <w:name w:val="HotSpot"/>
    <w:rsid w:val="00F43402"/>
    <w:rPr>
      <w:color w:val="0033CC"/>
      <w:u w:val="none"/>
    </w:rPr>
  </w:style>
  <w:style w:type="paragraph" w:customStyle="1" w:styleId="BodyTextRight">
    <w:name w:val="Body Text Right"/>
    <w:basedOn w:val="BodyText"/>
    <w:rsid w:val="00F43402"/>
    <w:pPr>
      <w:spacing w:before="0" w:after="0"/>
      <w:jc w:val="right"/>
    </w:pPr>
  </w:style>
  <w:style w:type="paragraph" w:styleId="Index3">
    <w:name w:val="index 3"/>
    <w:basedOn w:val="ListNumber2"/>
    <w:next w:val="Normal"/>
    <w:semiHidden/>
    <w:rsid w:val="00F43402"/>
    <w:pPr>
      <w:numPr>
        <w:numId w:val="0"/>
      </w:numPr>
      <w:tabs>
        <w:tab w:val="right" w:leader="dot" w:pos="4176"/>
      </w:tabs>
    </w:pPr>
  </w:style>
  <w:style w:type="paragraph" w:styleId="ListNumber2">
    <w:name w:val="List Number 2"/>
    <w:basedOn w:val="List2"/>
    <w:rsid w:val="00F43402"/>
    <w:pPr>
      <w:numPr>
        <w:numId w:val="9"/>
      </w:numPr>
      <w:tabs>
        <w:tab w:val="clear" w:pos="1060"/>
      </w:tabs>
    </w:pPr>
  </w:style>
  <w:style w:type="paragraph" w:customStyle="1" w:styleId="MarginNote">
    <w:name w:val="Margin Note"/>
    <w:basedOn w:val="BodyText"/>
    <w:rsid w:val="00F434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34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34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3402"/>
    <w:rPr>
      <w:sz w:val="32"/>
    </w:rPr>
  </w:style>
  <w:style w:type="paragraph" w:customStyle="1" w:styleId="HeadingProcedure">
    <w:name w:val="Heading Procedure"/>
    <w:basedOn w:val="HeadingBase"/>
    <w:next w:val="Normal"/>
    <w:rsid w:val="00F43402"/>
    <w:pPr>
      <w:tabs>
        <w:tab w:val="left" w:pos="0"/>
      </w:tabs>
      <w:spacing w:before="120" w:after="60"/>
    </w:pPr>
    <w:rPr>
      <w:i/>
      <w:color w:val="918585"/>
      <w:sz w:val="22"/>
    </w:rPr>
  </w:style>
  <w:style w:type="paragraph" w:customStyle="1" w:styleId="TableBodyText">
    <w:name w:val="Table Body Text"/>
    <w:basedOn w:val="BodyText"/>
    <w:rsid w:val="00F43402"/>
    <w:pPr>
      <w:spacing w:before="60" w:after="60"/>
    </w:pPr>
  </w:style>
  <w:style w:type="paragraph" w:styleId="ListContinue">
    <w:name w:val="List Continue"/>
    <w:basedOn w:val="List"/>
    <w:rsid w:val="00F43402"/>
    <w:pPr>
      <w:ind w:firstLine="0"/>
    </w:pPr>
  </w:style>
  <w:style w:type="paragraph" w:customStyle="1" w:styleId="ListNote">
    <w:name w:val="List Note"/>
    <w:basedOn w:val="List"/>
    <w:rsid w:val="00F43402"/>
    <w:pPr>
      <w:pBdr>
        <w:top w:val="single" w:sz="6" w:space="2" w:color="918585"/>
        <w:bottom w:val="single" w:sz="6" w:space="2" w:color="918585"/>
      </w:pBdr>
      <w:tabs>
        <w:tab w:val="left" w:pos="1021"/>
      </w:tabs>
      <w:ind w:firstLine="0"/>
    </w:pPr>
  </w:style>
  <w:style w:type="paragraph" w:customStyle="1" w:styleId="Warning">
    <w:name w:val="Warning"/>
    <w:basedOn w:val="BodyText"/>
    <w:rsid w:val="00F43402"/>
    <w:pPr>
      <w:shd w:val="clear" w:color="auto" w:fill="D9D9D9"/>
      <w:tabs>
        <w:tab w:val="left" w:pos="992"/>
      </w:tabs>
      <w:ind w:left="119" w:right="119"/>
    </w:pPr>
    <w:rPr>
      <w:sz w:val="20"/>
    </w:rPr>
  </w:style>
  <w:style w:type="paragraph" w:customStyle="1" w:styleId="MarginIcons">
    <w:name w:val="Margin Icons"/>
    <w:basedOn w:val="BodyText"/>
    <w:rsid w:val="00F434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3402"/>
    <w:rPr>
      <w:rFonts w:ascii="Courier New" w:hAnsi="Courier New"/>
    </w:rPr>
  </w:style>
  <w:style w:type="paragraph" w:customStyle="1" w:styleId="NoteBullet">
    <w:name w:val="Note Bullet"/>
    <w:basedOn w:val="Note"/>
    <w:rsid w:val="00F43402"/>
    <w:pPr>
      <w:tabs>
        <w:tab w:val="clear" w:pos="680"/>
      </w:tabs>
      <w:spacing w:before="60" w:after="60"/>
    </w:pPr>
  </w:style>
  <w:style w:type="paragraph" w:customStyle="1" w:styleId="SubHeading2">
    <w:name w:val="SubHeading2"/>
    <w:basedOn w:val="HeadingBase"/>
    <w:rsid w:val="00F43402"/>
    <w:pPr>
      <w:spacing w:before="240" w:after="60"/>
    </w:pPr>
    <w:rPr>
      <w:sz w:val="20"/>
    </w:rPr>
  </w:style>
  <w:style w:type="paragraph" w:customStyle="1" w:styleId="SubHeading1">
    <w:name w:val="SubHeading1"/>
    <w:basedOn w:val="HeadingBase"/>
    <w:rsid w:val="00F43402"/>
    <w:pPr>
      <w:spacing w:before="240" w:after="60"/>
    </w:pPr>
    <w:rPr>
      <w:color w:val="918585"/>
      <w:sz w:val="22"/>
    </w:rPr>
  </w:style>
  <w:style w:type="paragraph" w:customStyle="1" w:styleId="SideHeading">
    <w:name w:val="Side Heading"/>
    <w:basedOn w:val="HeadingBase"/>
    <w:rsid w:val="00F434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3402"/>
    <w:pPr>
      <w:numPr>
        <w:numId w:val="10"/>
      </w:numPr>
    </w:pPr>
  </w:style>
  <w:style w:type="paragraph" w:styleId="PlainText">
    <w:name w:val="Plain Text"/>
    <w:basedOn w:val="Normal"/>
    <w:link w:val="PlainTextChar"/>
    <w:rsid w:val="00F43402"/>
    <w:rPr>
      <w:sz w:val="20"/>
    </w:rPr>
  </w:style>
  <w:style w:type="character" w:customStyle="1" w:styleId="PlainTextChar">
    <w:name w:val="Plain Text Char"/>
    <w:basedOn w:val="DefaultParagraphFont"/>
    <w:link w:val="PlainText"/>
    <w:rsid w:val="00F43402"/>
    <w:rPr>
      <w:rFonts w:ascii="Courier New" w:eastAsia="Times New Roman" w:hAnsi="Courier New" w:cs="Times New Roman"/>
      <w:sz w:val="20"/>
      <w:szCs w:val="20"/>
      <w:lang w:eastAsia="en-US"/>
    </w:rPr>
  </w:style>
  <w:style w:type="character" w:customStyle="1" w:styleId="MenuOption">
    <w:name w:val="Menu Option"/>
    <w:basedOn w:val="DefaultParagraphFont"/>
    <w:rsid w:val="00F43402"/>
    <w:rPr>
      <w:b/>
      <w:smallCaps/>
    </w:rPr>
  </w:style>
  <w:style w:type="paragraph" w:customStyle="1" w:styleId="TableListNumber">
    <w:name w:val="Table List Number"/>
    <w:basedOn w:val="ListNumber"/>
    <w:rsid w:val="00F43402"/>
    <w:pPr>
      <w:numPr>
        <w:numId w:val="0"/>
      </w:numPr>
    </w:pPr>
  </w:style>
  <w:style w:type="paragraph" w:styleId="TOC4">
    <w:name w:val="toc 4"/>
    <w:basedOn w:val="TOCBase"/>
    <w:next w:val="Normal"/>
    <w:semiHidden/>
    <w:rsid w:val="00F43402"/>
    <w:pPr>
      <w:tabs>
        <w:tab w:val="right" w:leader="dot" w:pos="9071"/>
      </w:tabs>
      <w:ind w:left="1701"/>
    </w:pPr>
  </w:style>
  <w:style w:type="paragraph" w:customStyle="1" w:styleId="ListAlpha">
    <w:name w:val="List Alpha"/>
    <w:basedOn w:val="List"/>
    <w:rsid w:val="00F43402"/>
    <w:pPr>
      <w:numPr>
        <w:numId w:val="8"/>
      </w:numPr>
    </w:pPr>
  </w:style>
  <w:style w:type="paragraph" w:customStyle="1" w:styleId="ListAlpha2">
    <w:name w:val="List Alpha 2"/>
    <w:basedOn w:val="List2"/>
    <w:rsid w:val="00F43402"/>
    <w:pPr>
      <w:numPr>
        <w:numId w:val="7"/>
      </w:numPr>
    </w:pPr>
  </w:style>
  <w:style w:type="paragraph" w:styleId="List2">
    <w:name w:val="List 2"/>
    <w:basedOn w:val="BodyText"/>
    <w:rsid w:val="00F43402"/>
    <w:pPr>
      <w:tabs>
        <w:tab w:val="left" w:pos="680"/>
      </w:tabs>
      <w:spacing w:before="60" w:after="60"/>
      <w:ind w:left="680" w:hanging="340"/>
    </w:pPr>
  </w:style>
  <w:style w:type="paragraph" w:styleId="List3">
    <w:name w:val="List 3"/>
    <w:basedOn w:val="BodyText"/>
    <w:rsid w:val="00F43402"/>
    <w:pPr>
      <w:tabs>
        <w:tab w:val="left" w:pos="1021"/>
      </w:tabs>
      <w:spacing w:before="60" w:after="60"/>
      <w:ind w:left="1020" w:hanging="340"/>
    </w:pPr>
  </w:style>
  <w:style w:type="paragraph" w:styleId="List4">
    <w:name w:val="List 4"/>
    <w:basedOn w:val="BodyText"/>
    <w:rsid w:val="00F43402"/>
    <w:pPr>
      <w:tabs>
        <w:tab w:val="left" w:pos="1361"/>
      </w:tabs>
      <w:spacing w:before="60" w:after="60"/>
      <w:ind w:left="1361" w:hanging="340"/>
    </w:pPr>
  </w:style>
  <w:style w:type="paragraph" w:styleId="List5">
    <w:name w:val="List 5"/>
    <w:basedOn w:val="BodyText"/>
    <w:rsid w:val="00F43402"/>
    <w:pPr>
      <w:tabs>
        <w:tab w:val="left" w:pos="1701"/>
      </w:tabs>
      <w:spacing w:before="60" w:after="60"/>
      <w:ind w:left="1701" w:hanging="340"/>
    </w:pPr>
  </w:style>
  <w:style w:type="paragraph" w:styleId="ListBullet3">
    <w:name w:val="List Bullet 3"/>
    <w:basedOn w:val="List3"/>
    <w:rsid w:val="00F43402"/>
    <w:pPr>
      <w:numPr>
        <w:numId w:val="13"/>
      </w:numPr>
      <w:tabs>
        <w:tab w:val="clear" w:pos="1021"/>
      </w:tabs>
      <w:ind w:left="1037" w:hanging="357"/>
    </w:pPr>
  </w:style>
  <w:style w:type="paragraph" w:styleId="ListBullet4">
    <w:name w:val="List Bullet 4"/>
    <w:basedOn w:val="List4"/>
    <w:rsid w:val="00F43402"/>
    <w:pPr>
      <w:numPr>
        <w:numId w:val="2"/>
      </w:numPr>
      <w:tabs>
        <w:tab w:val="clear" w:pos="1361"/>
      </w:tabs>
    </w:pPr>
  </w:style>
  <w:style w:type="paragraph" w:styleId="ListBullet5">
    <w:name w:val="List Bullet 5"/>
    <w:basedOn w:val="List5"/>
    <w:rsid w:val="00F43402"/>
    <w:pPr>
      <w:numPr>
        <w:numId w:val="3"/>
      </w:numPr>
    </w:pPr>
  </w:style>
  <w:style w:type="paragraph" w:styleId="ListContinue2">
    <w:name w:val="List Continue 2"/>
    <w:basedOn w:val="List2"/>
    <w:rsid w:val="00F43402"/>
    <w:pPr>
      <w:ind w:firstLine="0"/>
    </w:pPr>
  </w:style>
  <w:style w:type="paragraph" w:styleId="ListContinue3">
    <w:name w:val="List Continue 3"/>
    <w:basedOn w:val="List3"/>
    <w:rsid w:val="00F43402"/>
    <w:pPr>
      <w:ind w:left="1021" w:firstLine="0"/>
    </w:pPr>
  </w:style>
  <w:style w:type="paragraph" w:styleId="ListContinue4">
    <w:name w:val="List Continue 4"/>
    <w:basedOn w:val="List4"/>
    <w:rsid w:val="00F43402"/>
    <w:pPr>
      <w:ind w:firstLine="0"/>
    </w:pPr>
  </w:style>
  <w:style w:type="paragraph" w:styleId="ListContinue5">
    <w:name w:val="List Continue 5"/>
    <w:basedOn w:val="List5"/>
    <w:rsid w:val="00F43402"/>
    <w:pPr>
      <w:ind w:firstLine="0"/>
    </w:pPr>
  </w:style>
  <w:style w:type="paragraph" w:styleId="ListNumber3">
    <w:name w:val="List Number 3"/>
    <w:basedOn w:val="List3"/>
    <w:rsid w:val="00F43402"/>
    <w:pPr>
      <w:numPr>
        <w:numId w:val="4"/>
      </w:numPr>
    </w:pPr>
  </w:style>
  <w:style w:type="paragraph" w:styleId="ListNumber4">
    <w:name w:val="List Number 4"/>
    <w:basedOn w:val="List4"/>
    <w:rsid w:val="00F43402"/>
    <w:pPr>
      <w:numPr>
        <w:numId w:val="5"/>
      </w:numPr>
    </w:pPr>
  </w:style>
  <w:style w:type="paragraph" w:styleId="ListNumber5">
    <w:name w:val="List Number 5"/>
    <w:basedOn w:val="List5"/>
    <w:rsid w:val="00F43402"/>
    <w:pPr>
      <w:numPr>
        <w:numId w:val="6"/>
      </w:numPr>
    </w:pPr>
  </w:style>
  <w:style w:type="paragraph" w:styleId="BlockText">
    <w:name w:val="Block Text"/>
    <w:basedOn w:val="Normal"/>
    <w:rsid w:val="00F43402"/>
    <w:pPr>
      <w:spacing w:after="120"/>
      <w:ind w:left="1440" w:right="1440"/>
    </w:pPr>
  </w:style>
  <w:style w:type="character" w:customStyle="1" w:styleId="Subscript">
    <w:name w:val="Subscript"/>
    <w:basedOn w:val="DefaultParagraphFont"/>
    <w:rsid w:val="00F43402"/>
    <w:rPr>
      <w:sz w:val="16"/>
      <w:vertAlign w:val="subscript"/>
    </w:rPr>
  </w:style>
  <w:style w:type="character" w:customStyle="1" w:styleId="Superscript">
    <w:name w:val="Superscript"/>
    <w:basedOn w:val="DefaultParagraphFont"/>
    <w:rsid w:val="00F43402"/>
    <w:rPr>
      <w:sz w:val="16"/>
      <w:vertAlign w:val="superscript"/>
    </w:rPr>
  </w:style>
  <w:style w:type="character" w:customStyle="1" w:styleId="Symbols">
    <w:name w:val="Symbols"/>
    <w:basedOn w:val="DefaultParagraphFont"/>
    <w:rsid w:val="00F43402"/>
    <w:rPr>
      <w:rFonts w:ascii="Symbol" w:hAnsi="Symbol"/>
    </w:rPr>
  </w:style>
  <w:style w:type="character" w:customStyle="1" w:styleId="MenuOptions">
    <w:name w:val="Menu Options"/>
    <w:basedOn w:val="DefaultParagraphFont"/>
    <w:rsid w:val="00F43402"/>
    <w:rPr>
      <w:rFonts w:ascii="Arial Narrow" w:hAnsi="Arial Narrow"/>
      <w:smallCaps/>
    </w:rPr>
  </w:style>
  <w:style w:type="character" w:customStyle="1" w:styleId="Buttons">
    <w:name w:val="Buttons"/>
    <w:basedOn w:val="DefaultParagraphFont"/>
    <w:rsid w:val="00F43402"/>
    <w:rPr>
      <w:b/>
    </w:rPr>
  </w:style>
  <w:style w:type="character" w:customStyle="1" w:styleId="Underlined">
    <w:name w:val="Underlined"/>
    <w:basedOn w:val="DefaultParagraphFont"/>
    <w:rsid w:val="00F43402"/>
    <w:rPr>
      <w:u w:val="single"/>
    </w:rPr>
  </w:style>
  <w:style w:type="paragraph" w:customStyle="1" w:styleId="TableBodyTextRight">
    <w:name w:val="Table Body Text Right"/>
    <w:basedOn w:val="TableBodyText"/>
    <w:rsid w:val="00F43402"/>
    <w:pPr>
      <w:widowControl w:val="0"/>
      <w:autoSpaceDE w:val="0"/>
      <w:autoSpaceDN w:val="0"/>
      <w:adjustRightInd w:val="0"/>
      <w:jc w:val="right"/>
    </w:pPr>
    <w:rPr>
      <w:rFonts w:cs="Arial"/>
      <w:szCs w:val="18"/>
    </w:rPr>
  </w:style>
  <w:style w:type="paragraph" w:customStyle="1" w:styleId="CopyrightText">
    <w:name w:val="Copyright Text"/>
    <w:basedOn w:val="BodyText"/>
    <w:rsid w:val="00F43402"/>
    <w:rPr>
      <w:sz w:val="18"/>
    </w:rPr>
  </w:style>
  <w:style w:type="paragraph" w:customStyle="1" w:styleId="BodySmallRight">
    <w:name w:val="Body Small Right"/>
    <w:basedOn w:val="BodyTextRight"/>
    <w:rsid w:val="00F43402"/>
    <w:rPr>
      <w:sz w:val="18"/>
      <w:szCs w:val="18"/>
    </w:rPr>
  </w:style>
  <w:style w:type="paragraph" w:customStyle="1" w:styleId="MarginEdition">
    <w:name w:val="Margin Edition"/>
    <w:basedOn w:val="MarginNote"/>
    <w:rsid w:val="00F43402"/>
    <w:pPr>
      <w:spacing w:before="0" w:after="0"/>
    </w:pPr>
    <w:rPr>
      <w:rFonts w:ascii="Times New Roman" w:hAnsi="Times New Roman"/>
      <w:color w:val="999999"/>
    </w:rPr>
  </w:style>
  <w:style w:type="paragraph" w:customStyle="1" w:styleId="Spacer">
    <w:name w:val="Spacer"/>
    <w:basedOn w:val="Normal"/>
    <w:rsid w:val="00F43402"/>
    <w:rPr>
      <w:sz w:val="2"/>
      <w:szCs w:val="2"/>
    </w:rPr>
  </w:style>
  <w:style w:type="character" w:customStyle="1" w:styleId="Small">
    <w:name w:val="Small"/>
    <w:basedOn w:val="DefaultParagraphFont"/>
    <w:rsid w:val="00F43402"/>
    <w:rPr>
      <w:sz w:val="16"/>
    </w:rPr>
  </w:style>
  <w:style w:type="paragraph" w:customStyle="1" w:styleId="WideTable">
    <w:name w:val="Wide Table"/>
    <w:basedOn w:val="Normal"/>
    <w:rsid w:val="00F43402"/>
    <w:pPr>
      <w:ind w:left="-1418"/>
    </w:pPr>
    <w:rPr>
      <w:sz w:val="2"/>
      <w:szCs w:val="2"/>
    </w:rPr>
  </w:style>
  <w:style w:type="character" w:styleId="PageNumber">
    <w:name w:val="page number"/>
    <w:basedOn w:val="DefaultParagraphFont"/>
    <w:rsid w:val="00F43402"/>
  </w:style>
  <w:style w:type="paragraph" w:styleId="Quote">
    <w:name w:val="Quote"/>
    <w:basedOn w:val="Heading1"/>
    <w:link w:val="QuoteChar"/>
    <w:qFormat/>
    <w:rsid w:val="00F43402"/>
    <w:rPr>
      <w:b w:val="0"/>
      <w:sz w:val="72"/>
      <w:szCs w:val="72"/>
      <w:lang w:val="en-NZ"/>
    </w:rPr>
  </w:style>
  <w:style w:type="character" w:customStyle="1" w:styleId="QuoteChar">
    <w:name w:val="Quote Char"/>
    <w:basedOn w:val="DefaultParagraphFont"/>
    <w:link w:val="Quote"/>
    <w:rsid w:val="00F434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3402"/>
    <w:pPr>
      <w:pageBreakBefore/>
    </w:pPr>
  </w:style>
  <w:style w:type="paragraph" w:customStyle="1" w:styleId="Border">
    <w:name w:val="Border"/>
    <w:basedOn w:val="Normal"/>
    <w:qFormat/>
    <w:rsid w:val="00F434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3402"/>
    <w:rPr>
      <w:b/>
      <w:bCs/>
      <w:i/>
      <w:iCs/>
      <w:color w:val="auto"/>
    </w:rPr>
  </w:style>
  <w:style w:type="paragraph" w:styleId="IntenseQuote">
    <w:name w:val="Intense Quote"/>
    <w:basedOn w:val="Normal"/>
    <w:next w:val="Normal"/>
    <w:link w:val="IntenseQuoteChar"/>
    <w:uiPriority w:val="30"/>
    <w:qFormat/>
    <w:rsid w:val="00F434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34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3402"/>
    <w:rPr>
      <w:smallCaps/>
      <w:color w:val="auto"/>
      <w:u w:val="single"/>
    </w:rPr>
  </w:style>
  <w:style w:type="character" w:styleId="IntenseReference">
    <w:name w:val="Intense Reference"/>
    <w:basedOn w:val="DefaultParagraphFont"/>
    <w:uiPriority w:val="32"/>
    <w:qFormat/>
    <w:rsid w:val="00F43402"/>
    <w:rPr>
      <w:b/>
      <w:bCs/>
      <w:smallCaps/>
      <w:color w:val="auto"/>
      <w:spacing w:val="5"/>
      <w:u w:val="single"/>
    </w:rPr>
  </w:style>
  <w:style w:type="paragraph" w:customStyle="1" w:styleId="2ColumnHeading">
    <w:name w:val="2Column Heading"/>
    <w:basedOn w:val="BodyText"/>
    <w:qFormat/>
    <w:rsid w:val="00F43402"/>
    <w:pPr>
      <w:spacing w:after="60"/>
      <w:ind w:left="-2268"/>
    </w:pPr>
    <w:rPr>
      <w:b/>
    </w:rPr>
  </w:style>
  <w:style w:type="paragraph" w:customStyle="1" w:styleId="Heading1TOC">
    <w:name w:val="Heading1 TOC"/>
    <w:basedOn w:val="Normal"/>
    <w:qFormat/>
    <w:rsid w:val="00F43402"/>
    <w:pPr>
      <w:spacing w:before="240" w:after="120"/>
    </w:pPr>
    <w:rPr>
      <w:rFonts w:ascii="Times New Roman" w:hAnsi="Times New Roman"/>
      <w:b/>
      <w:sz w:val="32"/>
    </w:rPr>
  </w:style>
  <w:style w:type="paragraph" w:customStyle="1" w:styleId="Heading2TOC">
    <w:name w:val="Heading2 TOC"/>
    <w:basedOn w:val="Normal"/>
    <w:qFormat/>
    <w:rsid w:val="00F43402"/>
    <w:pPr>
      <w:spacing w:before="240" w:after="60"/>
    </w:pPr>
    <w:rPr>
      <w:rFonts w:ascii="Times New Roman" w:hAnsi="Times New Roman"/>
      <w:b/>
      <w:sz w:val="28"/>
    </w:rPr>
  </w:style>
  <w:style w:type="character" w:customStyle="1" w:styleId="Underline">
    <w:name w:val="Underline"/>
    <w:basedOn w:val="DefaultParagraphFont"/>
    <w:qFormat/>
    <w:rsid w:val="00F43402"/>
    <w:rPr>
      <w:u w:val="single"/>
    </w:rPr>
  </w:style>
  <w:style w:type="character" w:customStyle="1" w:styleId="BoldandItalics">
    <w:name w:val="Bold and Italics"/>
    <w:qFormat/>
    <w:rsid w:val="00F43402"/>
    <w:rPr>
      <w:b/>
      <w:i/>
      <w:u w:val="none"/>
    </w:rPr>
  </w:style>
  <w:style w:type="paragraph" w:styleId="BalloonText">
    <w:name w:val="Balloon Text"/>
    <w:basedOn w:val="Normal"/>
    <w:link w:val="BalloonTextChar"/>
    <w:rsid w:val="00F43402"/>
    <w:rPr>
      <w:rFonts w:ascii="Tahoma" w:hAnsi="Tahoma" w:cs="Tahoma"/>
      <w:sz w:val="16"/>
      <w:szCs w:val="16"/>
    </w:rPr>
  </w:style>
  <w:style w:type="character" w:customStyle="1" w:styleId="BalloonTextChar">
    <w:name w:val="Balloon Text Char"/>
    <w:basedOn w:val="DefaultParagraphFont"/>
    <w:link w:val="BalloonText"/>
    <w:rsid w:val="00F434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340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434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3402"/>
    <w:rPr>
      <w:b/>
      <w:color w:val="660033"/>
      <w:spacing w:val="0"/>
    </w:rPr>
  </w:style>
  <w:style w:type="paragraph" w:customStyle="1" w:styleId="Nameditemlist">
    <w:name w:val="Named item list"/>
    <w:basedOn w:val="BodyText"/>
    <w:qFormat/>
    <w:rsid w:val="00F43402"/>
    <w:pPr>
      <w:tabs>
        <w:tab w:val="left" w:pos="2835"/>
      </w:tabs>
      <w:ind w:left="2835" w:hanging="2835"/>
    </w:pPr>
  </w:style>
  <w:style w:type="paragraph" w:customStyle="1" w:styleId="BodyTextnopadding">
    <w:name w:val="Body Text no padding"/>
    <w:basedOn w:val="BodyText"/>
    <w:qFormat/>
    <w:rsid w:val="00F43402"/>
    <w:pPr>
      <w:spacing w:before="0" w:after="0"/>
    </w:pPr>
  </w:style>
  <w:style w:type="paragraph" w:customStyle="1" w:styleId="BodyTextBold">
    <w:name w:val="Body Text Bold"/>
    <w:basedOn w:val="BodyText"/>
    <w:qFormat/>
    <w:rsid w:val="00F43402"/>
    <w:rPr>
      <w:b/>
    </w:rPr>
  </w:style>
  <w:style w:type="character" w:styleId="Hyperlink">
    <w:name w:val="Hyperlink"/>
    <w:basedOn w:val="DefaultParagraphFont"/>
    <w:uiPriority w:val="99"/>
    <w:unhideWhenUsed/>
    <w:rsid w:val="0075733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1073</Words>
  <Characters>6807</Characters>
  <Application>Microsoft Office Word</Application>
  <DocSecurity>0</DocSecurity>
  <Lines>324</Lines>
  <Paragraphs>207</Paragraphs>
  <ScaleCrop>false</ScaleCrop>
  <Company>Author-it Software Corporation Ltd.</Company>
  <LinksUpToDate>false</LinksUpToDate>
  <CharactersWithSpaces>7673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MEM20011 Service and repair fire and security containers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2021-03-31T03:20:00Z</dcterms:created>
  <dcterms:modified xsi:type="dcterms:W3CDTF">2021-03-31T03:20:00Z</dcterms:modified>
</cp:coreProperties>
</file>