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08A" w:rsidP="0023608A">
      <w:pPr>
        <w:pStyle w:val="Title"/>
      </w:pPr>
      <w:r>
        <w:fldChar w:fldCharType="begin"/>
      </w:r>
      <w:r>
        <w:instrText xml:space="preserve"> TITLE   \* MERGEFORMAT </w:instrText>
      </w:r>
      <w:r>
        <w:fldChar w:fldCharType="separate"/>
      </w:r>
      <w:r>
        <w:t>MEM20010 Gain entry and reinstate automotive locking systems</w:t>
      </w:r>
      <w:r>
        <w:fldChar w:fldCharType="end"/>
      </w:r>
    </w:p>
    <w:p w:rsidR="0023608A" w:rsidP="0023608A">
      <w:pPr>
        <w:pStyle w:val="Version"/>
        <w:sectPr w:rsidSect="00462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FC6" w:rsidP="00462FC6">
      <w:pPr>
        <w:pStyle w:val="SuperHeading"/>
      </w:pPr>
      <w:r w:rsidRPr="00462FC6">
        <w:t>MEM20010 Gain entry and reinstate automotive locking systems</w:t>
      </w:r>
    </w:p>
    <w:p w:rsidR="00000000" w:rsidRPr="00462FC6" w:rsidP="00462FC6">
      <w:pPr>
        <w:pStyle w:val="Heading1"/>
      </w:pPr>
      <w:bookmarkStart w:id="1" w:name="O_951027"/>
      <w:bookmarkEnd w:id="1"/>
      <w:r w:rsidRPr="00462FC6">
        <w:t>Modification History</w:t>
      </w:r>
    </w:p>
    <w:p w:rsidR="00000000" w:rsidRPr="00462FC6" w:rsidP="0023608A">
      <w:pPr>
        <w:pStyle w:val="BodyText"/>
      </w:pPr>
      <w:r w:rsidRPr="00462FC6">
        <w:t xml:space="preserve">Release 1. Supersedes and is equivalent to MEM20010A Gain entry and reinstate automotive locking systems </w:t>
      </w:r>
    </w:p>
    <w:p w:rsidR="00000000" w:rsidRPr="00462FC6" w:rsidP="00462FC6">
      <w:pPr>
        <w:pStyle w:val="Heading1"/>
      </w:pPr>
      <w:bookmarkStart w:id="2" w:name="O_951035"/>
      <w:bookmarkEnd w:id="2"/>
      <w:r w:rsidRPr="00462FC6">
        <w:t>Application</w:t>
      </w:r>
    </w:p>
    <w:p w:rsidR="00000000" w:rsidRPr="00462FC6" w:rsidP="0023608A">
      <w:pPr>
        <w:pStyle w:val="BodyText"/>
      </w:pPr>
      <w:r w:rsidRPr="00462FC6">
        <w:t>This unit of competency defines the skills and knowledge required to gain entry to a</w:t>
      </w:r>
      <w:r w:rsidRPr="00462FC6">
        <w:t>ll types of automobiles fitted with mechanical and/or electronic locking systems, and covers straightforward reinstatement of the vehicle locking system by removal and replacement of component parts.</w:t>
      </w:r>
    </w:p>
    <w:p w:rsidR="00000000" w:rsidRPr="00462FC6" w:rsidP="0023608A">
      <w:pPr>
        <w:pStyle w:val="BodyText"/>
      </w:pPr>
      <w:r w:rsidRPr="00462FC6">
        <w:t xml:space="preserve">Where interpretation of detailed, complex manufacturer </w:t>
      </w:r>
      <w:r w:rsidRPr="00462FC6">
        <w:t>information and specifications is required unit MEM16012 Interpret technical specifications and manuals should also be selected.</w:t>
      </w:r>
    </w:p>
    <w:p w:rsidR="00000000" w:rsidRPr="00462FC6" w:rsidP="0023608A">
      <w:pPr>
        <w:pStyle w:val="BodyText"/>
      </w:pPr>
      <w:r w:rsidRPr="00462FC6">
        <w:t>Where repairs greater than straightforward remove and replace are required unit MEM20012 Service and repair mechanical automot</w:t>
      </w:r>
      <w:r w:rsidRPr="00462FC6">
        <w:t>ive locking systems should also be selected.</w:t>
      </w:r>
    </w:p>
    <w:p w:rsidR="00000000" w:rsidRPr="00462FC6" w:rsidP="0023608A">
      <w:pPr>
        <w:pStyle w:val="BodyText"/>
      </w:pPr>
      <w:r w:rsidRPr="00462FC6">
        <w:t xml:space="preserve">No licensing, legislative or certification requirements apply to this unit at the time of publication. </w:t>
      </w:r>
    </w:p>
    <w:p w:rsidR="00000000" w:rsidRPr="00462FC6" w:rsidP="00462FC6">
      <w:pPr>
        <w:pStyle w:val="BodyText"/>
      </w:pPr>
      <w:r w:rsidRPr="00462FC6">
        <w:rPr>
          <w:rStyle w:val="SpecialBold"/>
        </w:rPr>
        <w:t>Band</w:t>
      </w:r>
      <w:r w:rsidRPr="00462FC6">
        <w:t>:</w:t>
      </w:r>
      <w:r w:rsidRPr="00462FC6">
        <w:tab/>
      </w:r>
      <w:r w:rsidRPr="00462FC6">
        <w:rPr>
          <w:rStyle w:val="SpecialBold"/>
        </w:rPr>
        <w:t>A</w:t>
      </w:r>
    </w:p>
    <w:p w:rsidR="00000000" w:rsidRPr="00462FC6" w:rsidP="00462FC6">
      <w:pPr>
        <w:pStyle w:val="BodyText"/>
      </w:pPr>
      <w:r w:rsidRPr="00462FC6">
        <w:rPr>
          <w:rStyle w:val="SpecialBold"/>
        </w:rPr>
        <w:t>Unit Weight</w:t>
      </w:r>
      <w:r w:rsidRPr="00462FC6">
        <w:t>:</w:t>
      </w:r>
      <w:r w:rsidRPr="00462FC6">
        <w:tab/>
      </w:r>
      <w:r w:rsidRPr="00462FC6">
        <w:rPr>
          <w:rStyle w:val="SpecialBold"/>
        </w:rPr>
        <w:t>4</w:t>
      </w:r>
    </w:p>
    <w:p w:rsidR="00000000" w:rsidRPr="00462FC6" w:rsidP="00462FC6">
      <w:pPr>
        <w:pStyle w:val="AllowPageBreak"/>
      </w:pPr>
    </w:p>
    <w:p w:rsidR="00000000" w:rsidRPr="00462FC6" w:rsidP="00462FC6">
      <w:pPr>
        <w:pStyle w:val="Heading1"/>
      </w:pPr>
      <w:bookmarkStart w:id="3" w:name="O_951034"/>
      <w:bookmarkEnd w:id="3"/>
      <w:r w:rsidRPr="00462FC6">
        <w:t>Pre-requisite Unit</w:t>
      </w:r>
    </w:p>
    <w:tbl>
      <w:tblPr>
        <w:tblW w:w="0" w:type="auto"/>
        <w:tblLayout w:type="fixed"/>
        <w:tblCellMar>
          <w:left w:w="62" w:type="dxa"/>
          <w:right w:w="62" w:type="dxa"/>
        </w:tblCellMar>
        <w:tblLook w:val="0000"/>
      </w:tblPr>
      <w:tblGrid>
        <w:gridCol w:w="2186"/>
        <w:gridCol w:w="6886"/>
      </w:tblGrid>
      <w:tr w:rsidTr="00462FC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MEM13015</w:t>
            </w:r>
          </w:p>
        </w:tc>
        <w:tc>
          <w:tcPr>
            <w:tcW w:w="68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Work safely and effectively in manufa</w:t>
            </w:r>
            <w:r w:rsidRPr="00462FC6">
              <w:t>cturing and engineering</w:t>
            </w:r>
          </w:p>
        </w:tc>
      </w:tr>
      <w:tr w:rsidTr="00462FC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MEM16006</w:t>
            </w:r>
          </w:p>
        </w:tc>
        <w:tc>
          <w:tcPr>
            <w:tcW w:w="68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Organise and communicate information</w:t>
            </w:r>
          </w:p>
        </w:tc>
      </w:tr>
      <w:tr w:rsidTr="00462FC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MEM18001</w:t>
            </w:r>
          </w:p>
        </w:tc>
        <w:tc>
          <w:tcPr>
            <w:tcW w:w="68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Use hand tools</w:t>
            </w:r>
          </w:p>
        </w:tc>
      </w:tr>
      <w:tr w:rsidTr="00462FC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MEM20001</w:t>
            </w:r>
          </w:p>
        </w:tc>
        <w:tc>
          <w:tcPr>
            <w:tcW w:w="68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Produce keys</w:t>
            </w:r>
          </w:p>
        </w:tc>
      </w:tr>
      <w:tr w:rsidTr="00462FC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MEM20002</w:t>
            </w:r>
          </w:p>
        </w:tc>
        <w:tc>
          <w:tcPr>
            <w:tcW w:w="68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Assemble and test lock mechanisms</w:t>
            </w:r>
          </w:p>
        </w:tc>
      </w:tr>
      <w:tr w:rsidTr="00462FC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MEM20004</w:t>
            </w:r>
          </w:p>
        </w:tc>
        <w:tc>
          <w:tcPr>
            <w:tcW w:w="6886"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Gain entry</w:t>
            </w:r>
          </w:p>
        </w:tc>
      </w:tr>
    </w:tbl>
    <w:p w:rsidR="00000000" w:rsidRPr="00462FC6" w:rsidP="00462FC6">
      <w:pPr>
        <w:pStyle w:val="BodyText"/>
      </w:pPr>
    </w:p>
    <w:p w:rsidR="00000000" w:rsidRPr="00462FC6" w:rsidP="00462FC6">
      <w:pPr>
        <w:pStyle w:val="AllowPageBreak"/>
      </w:pPr>
    </w:p>
    <w:p w:rsidR="00000000" w:rsidRPr="00462FC6" w:rsidP="00462FC6">
      <w:pPr>
        <w:pStyle w:val="Heading1"/>
      </w:pPr>
      <w:bookmarkStart w:id="4" w:name="O_951033"/>
      <w:bookmarkEnd w:id="4"/>
      <w:r w:rsidRPr="00462FC6">
        <w:t>Competency Field</w:t>
      </w:r>
    </w:p>
    <w:p w:rsidR="00000000" w:rsidRPr="00462FC6" w:rsidP="0023608A">
      <w:pPr>
        <w:pStyle w:val="BodyText"/>
      </w:pPr>
      <w:r w:rsidRPr="00462FC6">
        <w:t>Locksmithing</w:t>
      </w:r>
    </w:p>
    <w:p w:rsidR="00000000" w:rsidRPr="00462FC6" w:rsidP="00462FC6">
      <w:pPr>
        <w:pStyle w:val="Heading1"/>
      </w:pPr>
      <w:bookmarkStart w:id="5" w:name="O_951031"/>
      <w:bookmarkEnd w:id="5"/>
      <w:r w:rsidRPr="00462FC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62FC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Performance criteria describe the performance needed to demonstrate achievement of the element.</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1</w:t>
            </w:r>
          </w:p>
        </w:tc>
        <w:tc>
          <w:tcPr>
            <w:tcW w:w="1986" w:type="dxa"/>
            <w:vMerge w:val="restart"/>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1.1</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Follow standard operating procedures (SOPs)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1.2</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Comply with work health and safety (WHS) requirements at all times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1.3</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Select and use appropriate personal protective equipment (PPE) in accordance with SOPs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1.4</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Identify job requirements from specifications, job sheets or work instructions</w:t>
            </w:r>
          </w:p>
        </w:tc>
      </w:tr>
      <w:tr w:rsidTr="00462FC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2</w:t>
            </w:r>
          </w:p>
        </w:tc>
        <w:tc>
          <w:tcPr>
            <w:tcW w:w="1986" w:type="dxa"/>
            <w:vMerge w:val="restart"/>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Establish entry requirements to automotive locking system</w:t>
            </w: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2.1</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Establish the reason for entry</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2.2</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Verify authenticity of request in accordance with organisational and industry procedures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2.3</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Establish nature of problem and circumstances of prior operation in accordance with SOPs, inspection/diagnostic techniques and original specifications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2.4</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Identify vehicle, locking system and other relevant information from appropriate sources and in accordance with organisational and customer requirements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2.5</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Obtain and interpret specifications for components from appropriate sources of information</w:t>
            </w:r>
          </w:p>
        </w:tc>
      </w:tr>
      <w:tr w:rsidTr="00462FC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3</w:t>
            </w:r>
          </w:p>
        </w:tc>
        <w:tc>
          <w:tcPr>
            <w:tcW w:w="1986" w:type="dxa"/>
            <w:vMerge w:val="restart"/>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Gain entry to vehicle</w:t>
            </w: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3.1</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Select appropriate entry method in accordance with specific circumstances, customer requirements and SOPs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3.2</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Select tools, equipment, materials and consumables appropriate to entry requirements and check for serviceability in accordance with manufacturers</w:t>
            </w:r>
            <w:r>
              <w:t>’</w:t>
            </w:r>
            <w:r w:rsidRPr="00462FC6">
              <w:t xml:space="preserve"> specifications and SOPs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3.3</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 xml:space="preserve">Use selected tools to gain entry using appropriate </w:t>
            </w:r>
            <w:r w:rsidRPr="00462FC6">
              <w:t>industry practices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3.4</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Gain entry in accordance with applicable legislation, codes, regulations and standards</w:t>
            </w:r>
          </w:p>
        </w:tc>
      </w:tr>
      <w:tr w:rsidTr="00462FC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4</w:t>
            </w:r>
          </w:p>
        </w:tc>
        <w:tc>
          <w:tcPr>
            <w:tcW w:w="1986" w:type="dxa"/>
            <w:vMerge w:val="restart"/>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Re-instate automotive locking components and system</w:t>
            </w: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4.1</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Select replacement or repaired parts reassembly, where applicable</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4.2</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Dismantle/remove lock assemblies and components using appropriate organisational procedures, industry practices, tools and equipment</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4.3</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Inspect sub-assemblies, test and adjust as necessary for compliance to original factory assembly and functioning</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4.4</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Apply appropriate techniques in the preparation, assembly and adjustment of components parts using fastening equipment and methods that ensure conformance to specifications, operational performance, quality and safety of the completed assembly</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4.5</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S</w:t>
            </w:r>
            <w:r w:rsidRPr="00462FC6">
              <w:t>elect correct lubrication, packing, sealing materials and apply correctly in conformance to job specifications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4.6</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Inspect locking system, test and adjust as necessary for compliance to original factory assembly and functioning</w:t>
            </w:r>
          </w:p>
        </w:tc>
      </w:tr>
      <w:tr w:rsidTr="00462FC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5</w:t>
            </w:r>
          </w:p>
        </w:tc>
        <w:tc>
          <w:tcPr>
            <w:tcW w:w="1986" w:type="dxa"/>
            <w:vMerge w:val="restart"/>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Finalise entry and reinstatement process</w:t>
            </w: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5.1</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Complete documentation and process in accordance with legislative and organisational requirements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5.2</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Clean work area, tools and equipment and store in accordance with SOPs</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5.3</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Clean vehicle and return to serviceable condition</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5.4</w:t>
            </w:r>
          </w:p>
        </w:tc>
        <w:tc>
          <w:tcPr>
            <w:tcW w:w="5678"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Advise customer of work undertaken and further recommended actions and any other relevant information</w:t>
            </w:r>
          </w:p>
        </w:tc>
      </w:tr>
      <w:tr w:rsidTr="00462FC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5.5</w:t>
            </w:r>
          </w:p>
        </w:tc>
        <w:tc>
          <w:tcPr>
            <w:tcW w:w="5678" w:type="dxa"/>
            <w:tcBorders>
              <w:top w:val="nil"/>
              <w:left w:val="nil"/>
              <w:bottom w:val="nil"/>
              <w:right w:val="nil"/>
            </w:tcBorders>
            <w:tcMar>
              <w:top w:w="0" w:type="dxa"/>
              <w:left w:w="62" w:type="dxa"/>
              <w:bottom w:w="0" w:type="dxa"/>
              <w:right w:w="62" w:type="dxa"/>
            </w:tcMar>
          </w:tcPr>
          <w:p w:rsidR="00000000" w:rsidRPr="00462FC6" w:rsidP="00462FC6">
            <w:pPr>
              <w:pStyle w:val="BodyText"/>
            </w:pPr>
            <w:r w:rsidRPr="00462FC6">
              <w:t>Instruct customer, as necessary, in accordance with organisational procedures and manufact</w:t>
            </w:r>
            <w:r w:rsidRPr="00462FC6">
              <w:t>urer recommendations</w:t>
            </w:r>
          </w:p>
        </w:tc>
      </w:tr>
    </w:tbl>
    <w:p w:rsidR="00000000" w:rsidRPr="00462FC6" w:rsidP="00462FC6">
      <w:pPr>
        <w:pStyle w:val="BodyText"/>
      </w:pPr>
    </w:p>
    <w:p w:rsidR="00000000" w:rsidRPr="00462FC6" w:rsidP="00462FC6">
      <w:pPr>
        <w:pStyle w:val="AllowPageBreak"/>
      </w:pPr>
    </w:p>
    <w:p w:rsidR="00000000" w:rsidRPr="00462FC6" w:rsidP="00462FC6">
      <w:pPr>
        <w:pStyle w:val="Heading1"/>
      </w:pPr>
      <w:bookmarkStart w:id="6" w:name="O_951030"/>
      <w:bookmarkEnd w:id="6"/>
      <w:r w:rsidRPr="00462FC6">
        <w:t>Foundation Skills</w:t>
      </w:r>
    </w:p>
    <w:p w:rsidR="00000000" w:rsidRPr="00462FC6" w:rsidP="0023608A">
      <w:pPr>
        <w:pStyle w:val="BodyText"/>
      </w:pPr>
      <w:r w:rsidRPr="00462FC6">
        <w:t xml:space="preserve">This section describes those required skills (reading, writing, oral communication and numeracy) that are essential to workplace performance in this unit of competency.  </w:t>
      </w:r>
    </w:p>
    <w:p w:rsidR="00000000" w:rsidRPr="00462FC6" w:rsidP="0023608A">
      <w:pPr>
        <w:pStyle w:val="BodyText"/>
      </w:pPr>
      <w:r w:rsidRPr="00462FC6">
        <w:t>Foundation skills essentia</w:t>
      </w:r>
      <w:r w:rsidRPr="00462FC6">
        <w:t>l to performance are explicit in the performance criteria of this unit of competency.</w:t>
      </w:r>
    </w:p>
    <w:p w:rsidR="00000000" w:rsidRPr="00462FC6" w:rsidP="00462FC6">
      <w:pPr>
        <w:pStyle w:val="Heading1"/>
      </w:pPr>
      <w:bookmarkStart w:id="7" w:name="O_951029"/>
      <w:bookmarkEnd w:id="7"/>
      <w:r w:rsidRPr="00462FC6">
        <w:t>Range of Conditions</w:t>
      </w:r>
    </w:p>
    <w:tbl>
      <w:tblPr>
        <w:tblW w:w="0" w:type="auto"/>
        <w:tblLayout w:type="fixed"/>
        <w:tblCellMar>
          <w:left w:w="62" w:type="dxa"/>
          <w:right w:w="62" w:type="dxa"/>
        </w:tblCellMar>
        <w:tblLook w:val="0000"/>
      </w:tblPr>
      <w:tblGrid>
        <w:gridCol w:w="2760"/>
        <w:gridCol w:w="6382"/>
      </w:tblGrid>
      <w:tr w:rsidTr="00462FC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t>This field allows for different work environments and conditions that may affect performance. Essential operating conditions that may be present (depending on the work situation, needs of the candidate, accessibility of the item, and local industry and reg</w:t>
            </w:r>
            <w:r w:rsidRPr="00462FC6">
              <w:t>ional contexts) are included.</w:t>
            </w:r>
          </w:p>
        </w:tc>
      </w:tr>
      <w:tr w:rsidTr="00462FC6">
        <w:tblPrEx>
          <w:tblW w:w="0" w:type="auto"/>
          <w:tblLayout w:type="fixed"/>
          <w:tblCellMar>
            <w:left w:w="62" w:type="dxa"/>
            <w:right w:w="62" w:type="dxa"/>
          </w:tblCellMar>
          <w:tblLook w:val="0000"/>
        </w:tblPrEx>
        <w:trPr>
          <w:trHeight w:val="4420"/>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PPE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 xml:space="preserve">face shields, goggles and safety glasses </w:t>
            </w:r>
          </w:p>
          <w:p w:rsidR="00000000" w:rsidRPr="00462FC6" w:rsidP="00462FC6">
            <w:pPr>
              <w:pStyle w:val="ListBullet"/>
            </w:pPr>
            <w:r w:rsidRPr="00462FC6">
              <w:t>hearing protection</w:t>
            </w:r>
          </w:p>
          <w:p w:rsidR="00000000" w:rsidRPr="00462FC6" w:rsidP="00462FC6">
            <w:pPr>
              <w:pStyle w:val="ListBullet"/>
            </w:pPr>
            <w:r w:rsidRPr="00462FC6">
              <w:t xml:space="preserve">dust masks and respirators </w:t>
            </w:r>
          </w:p>
          <w:p w:rsidR="00000000" w:rsidRPr="00462FC6" w:rsidP="00462FC6">
            <w:pPr>
              <w:pStyle w:val="ListBullet"/>
            </w:pPr>
            <w:r w:rsidRPr="00462FC6">
              <w:t xml:space="preserve">high visibility vests or clothing </w:t>
            </w:r>
          </w:p>
          <w:p w:rsidR="00000000" w:rsidRPr="00462FC6" w:rsidP="00462FC6">
            <w:pPr>
              <w:pStyle w:val="ListBullet"/>
            </w:pPr>
            <w:r w:rsidRPr="00462FC6">
              <w:t xml:space="preserve">head protection </w:t>
            </w:r>
          </w:p>
          <w:p w:rsidR="00000000" w:rsidRPr="00462FC6" w:rsidP="00462FC6">
            <w:pPr>
              <w:pStyle w:val="ListBullet"/>
            </w:pPr>
            <w:r w:rsidRPr="00462FC6">
              <w:t>sun protection, hats and sun screen</w:t>
            </w:r>
            <w:r w:rsidRPr="00462FC6">
              <w:t xml:space="preserve"> </w:t>
            </w:r>
          </w:p>
          <w:p w:rsidR="00000000" w:rsidRPr="00462FC6" w:rsidP="00462FC6">
            <w:pPr>
              <w:pStyle w:val="ListBullet"/>
            </w:pPr>
            <w:r w:rsidRPr="00462FC6">
              <w:t xml:space="preserve">gloves and knee pads </w:t>
            </w:r>
          </w:p>
          <w:p w:rsidR="00000000" w:rsidRPr="00462FC6" w:rsidP="00462FC6">
            <w:pPr>
              <w:pStyle w:val="ListBullet"/>
            </w:pPr>
            <w:r w:rsidRPr="00462FC6">
              <w:t xml:space="preserve">safety footwear </w:t>
            </w:r>
          </w:p>
          <w:p w:rsidR="00000000" w:rsidRPr="00462FC6" w:rsidP="00462FC6">
            <w:pPr>
              <w:pStyle w:val="ListBullet"/>
            </w:pPr>
            <w:r w:rsidRPr="00462FC6">
              <w:t xml:space="preserve">witches hats </w:t>
            </w:r>
          </w:p>
          <w:p w:rsidR="00000000" w:rsidRPr="00462FC6" w:rsidP="00462FC6">
            <w:pPr>
              <w:pStyle w:val="ListBullet"/>
            </w:pPr>
            <w:r w:rsidRPr="00462FC6">
              <w:t xml:space="preserve">warning signs and warning tapes </w:t>
            </w:r>
          </w:p>
          <w:p w:rsidR="00000000" w:rsidRPr="00462FC6" w:rsidP="00462FC6">
            <w:pPr>
              <w:pStyle w:val="ListBullet"/>
            </w:pPr>
            <w:r w:rsidRPr="00462FC6">
              <w:t xml:space="preserve">temporary safety barriers </w:t>
            </w:r>
          </w:p>
          <w:p w:rsidR="00000000" w:rsidRPr="00462FC6" w:rsidP="00462FC6">
            <w:pPr>
              <w:pStyle w:val="ListBullet"/>
            </w:pPr>
            <w:r w:rsidRPr="00462FC6">
              <w:t xml:space="preserve">fire extinguisher </w:t>
            </w:r>
          </w:p>
          <w:p w:rsidR="00000000" w:rsidP="00462FC6">
            <w:pPr>
              <w:pStyle w:val="ListBullet"/>
              <w:rPr>
                <w:lang w:val="en-NZ"/>
              </w:rPr>
            </w:pPr>
            <w:r w:rsidRPr="00462FC6">
              <w:t>first aid kit</w:t>
            </w:r>
          </w:p>
        </w:tc>
      </w:tr>
      <w:tr w:rsidTr="00462FC6">
        <w:tblPrEx>
          <w:tblW w:w="0" w:type="auto"/>
          <w:tblLayout w:type="fixed"/>
          <w:tblCellMar>
            <w:left w:w="62" w:type="dxa"/>
            <w:right w:w="62" w:type="dxa"/>
          </w:tblCellMar>
          <w:tblLook w:val="0000"/>
        </w:tblPrEx>
        <w:trPr>
          <w:trHeight w:val="2473"/>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Appropriate sources of information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catalogues</w:t>
            </w:r>
          </w:p>
          <w:p w:rsidR="00000000" w:rsidRPr="00462FC6" w:rsidP="00462FC6">
            <w:pPr>
              <w:pStyle w:val="ListBullet"/>
            </w:pPr>
            <w:r w:rsidRPr="00462FC6">
              <w:t>manufacturer manuals</w:t>
            </w:r>
          </w:p>
          <w:p w:rsidR="00000000" w:rsidRPr="00462FC6" w:rsidP="00462FC6">
            <w:pPr>
              <w:pStyle w:val="ListBullet"/>
            </w:pPr>
            <w:r w:rsidRPr="00462FC6">
              <w:t>drawings</w:t>
            </w:r>
          </w:p>
          <w:p w:rsidR="00000000" w:rsidRPr="00462FC6" w:rsidP="00462FC6">
            <w:pPr>
              <w:pStyle w:val="ListBullet"/>
            </w:pPr>
            <w:r w:rsidRPr="00462FC6">
              <w:t xml:space="preserve">detailed/technical sketches </w:t>
            </w:r>
          </w:p>
          <w:p w:rsidR="00000000" w:rsidRPr="00462FC6" w:rsidP="00462FC6">
            <w:pPr>
              <w:pStyle w:val="ListBullet"/>
            </w:pPr>
            <w:r w:rsidRPr="00462FC6">
              <w:t xml:space="preserve">colleagues/industry experts </w:t>
            </w:r>
          </w:p>
          <w:p w:rsidR="00000000" w:rsidRPr="00462FC6" w:rsidP="00462FC6">
            <w:pPr>
              <w:pStyle w:val="ListBullet"/>
            </w:pPr>
            <w:r w:rsidRPr="00462FC6">
              <w:t xml:space="preserve">computer software </w:t>
            </w:r>
          </w:p>
          <w:p w:rsidR="00000000" w:rsidP="00462FC6">
            <w:pPr>
              <w:pStyle w:val="ListBullet"/>
              <w:rPr>
                <w:lang w:val="en-NZ"/>
              </w:rPr>
            </w:pPr>
            <w:r w:rsidRPr="00462FC6">
              <w:t>associated data sheets</w:t>
            </w:r>
          </w:p>
        </w:tc>
      </w:tr>
      <w:tr w:rsidTr="00462FC6">
        <w:tblPrEx>
          <w:tblW w:w="0" w:type="auto"/>
          <w:tblLayout w:type="fixed"/>
          <w:tblCellMar>
            <w:left w:w="62" w:type="dxa"/>
            <w:right w:w="62" w:type="dxa"/>
          </w:tblCellMar>
          <w:tblLook w:val="0000"/>
        </w:tblPrEx>
        <w:trPr>
          <w:trHeight w:val="1798"/>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Customer requirements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function and capabilities</w:t>
            </w:r>
          </w:p>
          <w:p w:rsidR="00000000" w:rsidRPr="00462FC6" w:rsidP="00462FC6">
            <w:pPr>
              <w:pStyle w:val="ListBullet"/>
            </w:pPr>
            <w:r w:rsidRPr="00462FC6">
              <w:t>access issues</w:t>
            </w:r>
          </w:p>
          <w:p w:rsidR="00000000" w:rsidRPr="00462FC6" w:rsidP="00462FC6">
            <w:pPr>
              <w:pStyle w:val="ListBullet"/>
            </w:pPr>
            <w:r w:rsidRPr="00462FC6">
              <w:t>service and maintenance requirements</w:t>
            </w:r>
          </w:p>
          <w:p w:rsidR="00000000" w:rsidRPr="00462FC6" w:rsidP="00462FC6">
            <w:pPr>
              <w:pStyle w:val="ListBullet"/>
            </w:pPr>
            <w:r w:rsidRPr="00462FC6">
              <w:t>product operation and warranty information</w:t>
            </w:r>
          </w:p>
          <w:p w:rsidR="00000000" w:rsidP="00462FC6">
            <w:pPr>
              <w:pStyle w:val="ListBullet"/>
              <w:rPr>
                <w:lang w:val="en-NZ"/>
              </w:rPr>
            </w:pPr>
            <w:r w:rsidRPr="00462FC6">
              <w:t>costings</w:t>
            </w:r>
          </w:p>
        </w:tc>
      </w:tr>
      <w:tr w:rsidTr="00462FC6">
        <w:tblPrEx>
          <w:tblW w:w="0" w:type="auto"/>
          <w:tblLayout w:type="fixed"/>
          <w:tblCellMar>
            <w:left w:w="62" w:type="dxa"/>
            <w:right w:w="62" w:type="dxa"/>
          </w:tblCellMar>
          <w:tblLook w:val="0000"/>
        </w:tblPrEx>
        <w:trPr>
          <w:trHeight w:val="1777"/>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Entry method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pick</w:t>
            </w:r>
          </w:p>
          <w:p w:rsidR="00000000" w:rsidRPr="00462FC6" w:rsidP="00462FC6">
            <w:pPr>
              <w:pStyle w:val="ListBullet"/>
            </w:pPr>
            <w:r w:rsidRPr="00462FC6">
              <w:t>impressioning</w:t>
            </w:r>
          </w:p>
          <w:p w:rsidR="00000000" w:rsidRPr="00462FC6" w:rsidP="00462FC6">
            <w:pPr>
              <w:pStyle w:val="ListBullet"/>
            </w:pPr>
            <w:r w:rsidRPr="00462FC6">
              <w:t>reading</w:t>
            </w:r>
          </w:p>
          <w:p w:rsidR="00000000" w:rsidRPr="00462FC6" w:rsidP="00462FC6">
            <w:pPr>
              <w:pStyle w:val="ListBullet"/>
            </w:pPr>
            <w:r w:rsidRPr="00462FC6">
              <w:t>manipulating linkages</w:t>
            </w:r>
          </w:p>
          <w:p w:rsidR="00000000" w:rsidP="00462FC6">
            <w:pPr>
              <w:pStyle w:val="ListBullet"/>
              <w:rPr>
                <w:lang w:val="en-NZ"/>
              </w:rPr>
            </w:pPr>
            <w:r w:rsidRPr="00462FC6">
              <w:t>alternative methods</w:t>
            </w:r>
          </w:p>
        </w:tc>
      </w:tr>
      <w:tr w:rsidTr="00462FC6">
        <w:tblPrEx>
          <w:tblW w:w="0" w:type="auto"/>
          <w:tblLayout w:type="fixed"/>
          <w:tblCellMar>
            <w:left w:w="62" w:type="dxa"/>
            <w:right w:w="62" w:type="dxa"/>
          </w:tblCellMar>
          <w:tblLook w:val="0000"/>
        </w:tblPrEx>
        <w:trPr>
          <w:trHeight w:val="2173"/>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 xml:space="preserve">Tools and equipment include one (1) or more of the following: </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hand and power tools specific to gaining entry</w:t>
            </w:r>
          </w:p>
          <w:p w:rsidR="00000000" w:rsidRPr="00462FC6" w:rsidP="00462FC6">
            <w:pPr>
              <w:pStyle w:val="ListBullet"/>
            </w:pPr>
            <w:r w:rsidRPr="00462FC6">
              <w:t>power tools and accessories</w:t>
            </w:r>
          </w:p>
          <w:p w:rsidR="00000000" w:rsidRPr="00462FC6" w:rsidP="00462FC6">
            <w:pPr>
              <w:pStyle w:val="ListBullet"/>
            </w:pPr>
            <w:r w:rsidRPr="00462FC6">
              <w:t>diagnostic specialist equipment</w:t>
            </w:r>
          </w:p>
          <w:p w:rsidR="00000000" w:rsidRPr="00462FC6" w:rsidP="00462FC6">
            <w:pPr>
              <w:pStyle w:val="ListBullet"/>
            </w:pPr>
            <w:r w:rsidRPr="00462FC6">
              <w:t>fixing tools</w:t>
            </w:r>
          </w:p>
          <w:p w:rsidR="00000000" w:rsidRPr="00462FC6" w:rsidP="00462FC6">
            <w:pPr>
              <w:pStyle w:val="ListBullet"/>
            </w:pPr>
            <w:r w:rsidRPr="00462FC6">
              <w:t>special-purpose equipment</w:t>
            </w:r>
          </w:p>
          <w:p w:rsidR="00000000" w:rsidP="00462FC6">
            <w:pPr>
              <w:pStyle w:val="ListBullet"/>
              <w:rPr>
                <w:lang w:val="en-NZ"/>
              </w:rPr>
            </w:pPr>
            <w:r w:rsidRPr="00462FC6">
              <w:t>vacuum cleaner</w:t>
            </w:r>
          </w:p>
        </w:tc>
      </w:tr>
      <w:tr w:rsidTr="00462FC6">
        <w:tblPrEx>
          <w:tblW w:w="0" w:type="auto"/>
          <w:tblLayout w:type="fixed"/>
          <w:tblCellMar>
            <w:left w:w="62" w:type="dxa"/>
            <w:right w:w="62" w:type="dxa"/>
          </w:tblCellMar>
          <w:tblLook w:val="0000"/>
        </w:tblPrEx>
        <w:trPr>
          <w:trHeight w:val="1499"/>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Materials and consumables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lubricants</w:t>
            </w:r>
          </w:p>
          <w:p w:rsidR="00000000" w:rsidRPr="00462FC6" w:rsidP="00462FC6">
            <w:pPr>
              <w:pStyle w:val="ListBullet"/>
            </w:pPr>
            <w:r w:rsidRPr="00462FC6">
              <w:t>adhesives and sealants</w:t>
            </w:r>
          </w:p>
          <w:p w:rsidR="00000000" w:rsidRPr="00462FC6" w:rsidP="00462FC6">
            <w:pPr>
              <w:pStyle w:val="ListBullet"/>
            </w:pPr>
            <w:r w:rsidRPr="00462FC6">
              <w:t>cleaning materials</w:t>
            </w:r>
          </w:p>
          <w:p w:rsidR="00000000" w:rsidP="00462FC6">
            <w:pPr>
              <w:pStyle w:val="ListBullet"/>
              <w:rPr>
                <w:lang w:val="en-NZ"/>
              </w:rPr>
            </w:pPr>
            <w:r w:rsidRPr="00462FC6">
              <w:t>wire and cable</w:t>
            </w:r>
          </w:p>
        </w:tc>
      </w:tr>
      <w:tr w:rsidTr="00462FC6">
        <w:tblPrEx>
          <w:tblW w:w="0" w:type="auto"/>
          <w:tblLayout w:type="fixed"/>
          <w:tblCellMar>
            <w:left w:w="62" w:type="dxa"/>
            <w:right w:w="62" w:type="dxa"/>
          </w:tblCellMar>
          <w:tblLook w:val="0000"/>
        </w:tblPrEx>
        <w:trPr>
          <w:trHeight w:val="1499"/>
        </w:trPr>
        <w:tc>
          <w:tcPr>
            <w:tcW w:w="2760" w:type="dxa"/>
            <w:tcBorders>
              <w:top w:val="nil"/>
              <w:left w:val="nil"/>
              <w:bottom w:val="nil"/>
              <w:right w:val="nil"/>
            </w:tcBorders>
            <w:tcMar>
              <w:top w:w="0" w:type="dxa"/>
              <w:left w:w="62" w:type="dxa"/>
              <w:bottom w:w="0" w:type="dxa"/>
              <w:right w:w="62" w:type="dxa"/>
            </w:tcMar>
          </w:tcPr>
          <w:p w:rsidR="00000000" w:rsidP="00462FC6">
            <w:pPr>
              <w:pStyle w:val="BodyText"/>
              <w:rPr>
                <w:lang w:val="en-NZ"/>
              </w:rPr>
            </w:pPr>
            <w:r w:rsidRPr="00462FC6">
              <w:rPr>
                <w:rStyle w:val="SpecialBold"/>
              </w:rPr>
              <w:t>Documentation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62FC6" w:rsidP="00462FC6">
            <w:pPr>
              <w:pStyle w:val="ListBullet"/>
            </w:pPr>
            <w:r w:rsidRPr="00462FC6">
              <w:t>historical records</w:t>
            </w:r>
          </w:p>
          <w:p w:rsidR="00000000" w:rsidRPr="00462FC6" w:rsidP="00462FC6">
            <w:pPr>
              <w:pStyle w:val="ListBullet"/>
            </w:pPr>
            <w:r w:rsidRPr="00462FC6">
              <w:t>procedures and measurements for opening s</w:t>
            </w:r>
            <w:r w:rsidRPr="00462FC6">
              <w:t>pecific vehicles</w:t>
            </w:r>
          </w:p>
          <w:p w:rsidR="00000000" w:rsidRPr="00462FC6" w:rsidP="00462FC6">
            <w:pPr>
              <w:pStyle w:val="ListBullet"/>
            </w:pPr>
            <w:r w:rsidRPr="00462FC6">
              <w:t>job sheets</w:t>
            </w:r>
          </w:p>
          <w:p w:rsidR="00000000" w:rsidRPr="00462FC6" w:rsidP="00462FC6">
            <w:pPr>
              <w:pStyle w:val="ListBullet"/>
            </w:pPr>
            <w:r w:rsidRPr="00462FC6">
              <w:t>invoices</w:t>
            </w:r>
          </w:p>
          <w:p w:rsidR="00000000" w:rsidRPr="00462FC6" w:rsidP="00462FC6">
            <w:pPr>
              <w:pStyle w:val="ListBullet"/>
            </w:pPr>
            <w:r w:rsidRPr="00462FC6">
              <w:t>warranties</w:t>
            </w:r>
          </w:p>
        </w:tc>
      </w:tr>
    </w:tbl>
    <w:p w:rsidR="00000000" w:rsidRPr="00462FC6" w:rsidP="00462FC6">
      <w:pPr>
        <w:pStyle w:val="BodyText"/>
      </w:pPr>
    </w:p>
    <w:p w:rsidR="00000000" w:rsidRPr="00462FC6" w:rsidP="00462FC6">
      <w:pPr>
        <w:pStyle w:val="AllowPageBreak"/>
      </w:pPr>
    </w:p>
    <w:p w:rsidR="00000000" w:rsidRPr="00462FC6" w:rsidP="00462FC6">
      <w:pPr>
        <w:pStyle w:val="Heading1"/>
      </w:pPr>
      <w:bookmarkStart w:id="8" w:name="O_951028"/>
      <w:bookmarkEnd w:id="8"/>
      <w:r w:rsidRPr="00462FC6">
        <w:t>Unit Mapping Information</w:t>
      </w:r>
    </w:p>
    <w:p w:rsidR="00000000" w:rsidRPr="00462FC6" w:rsidP="0023608A">
      <w:pPr>
        <w:pStyle w:val="BodyText"/>
      </w:pPr>
      <w:r w:rsidRPr="00462FC6">
        <w:t xml:space="preserve">Release 1. Supersedes and is equivalent to MEM20010A Gain entry and reinstate automotive locking systems </w:t>
      </w:r>
    </w:p>
    <w:p w:rsidR="00000000" w:rsidRPr="00462FC6" w:rsidP="00462FC6">
      <w:pPr>
        <w:pStyle w:val="Heading1"/>
      </w:pPr>
      <w:bookmarkStart w:id="9" w:name="O_951021"/>
      <w:bookmarkEnd w:id="9"/>
      <w:r w:rsidRPr="00462FC6">
        <w:t>Links</w:t>
      </w:r>
    </w:p>
    <w:p w:rsidR="00000000" w:rsidRPr="00462FC6" w:rsidP="0023608A">
      <w:pPr>
        <w:pStyle w:val="BodyText"/>
      </w:pPr>
      <w:r w:rsidRPr="00462FC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04E7E">
        <w:rPr>
          <w:rStyle w:val="Hyperlink"/>
        </w:rPr>
        <w:t>https://vetnet.gov.au/Pages/TrainingDocs.aspx?q=b7050d37-5fd0-4740-8f7d-3b7a49c10bb2</w:t>
      </w:r>
      <w:r>
        <w:fldChar w:fldCharType="end"/>
      </w:r>
    </w:p>
    <w:p w:rsidR="00000000" w:rsidRPr="00462FC6" w:rsidP="00462FC6"/>
    <w:sectPr w:rsidSect="00462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C6" w:rsidRPr="0023608A" w:rsidP="00236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A" w:rsidP="00462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608A" w:rsidP="00462F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608A" w:rsidP="00462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FC6" w:rsidRPr="0023608A" w:rsidP="00236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8A" w:rsidRPr="002D2AF8" w:rsidP="00462FC6">
    <w:pPr>
      <w:pStyle w:val="Header"/>
      <w:framePr w:wrap="around"/>
    </w:pPr>
    <w:r>
      <w:fldChar w:fldCharType="begin"/>
    </w:r>
    <w:r>
      <w:instrText xml:space="preserve"> TITLE   \* MERGEFORMAT </w:instrText>
    </w:r>
    <w:r>
      <w:fldChar w:fldCharType="separate"/>
    </w:r>
    <w:r>
      <w:t>MEM20010 Gain entry and reinstate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23608A" w:rsidP="00462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323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725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FC6"/>
    <w:pPr>
      <w:spacing w:before="360" w:after="60"/>
      <w:outlineLvl w:val="0"/>
    </w:pPr>
    <w:rPr>
      <w:sz w:val="32"/>
    </w:rPr>
  </w:style>
  <w:style w:type="paragraph" w:styleId="Heading2">
    <w:name w:val="heading 2"/>
    <w:basedOn w:val="HeadingBase"/>
    <w:next w:val="BodyText"/>
    <w:link w:val="Heading2Char"/>
    <w:qFormat/>
    <w:rsid w:val="00462FC6"/>
    <w:pPr>
      <w:keepLines/>
      <w:spacing w:before="240" w:after="120"/>
      <w:outlineLvl w:val="1"/>
    </w:pPr>
    <w:rPr>
      <w:sz w:val="28"/>
      <w:szCs w:val="40"/>
    </w:rPr>
  </w:style>
  <w:style w:type="paragraph" w:styleId="Heading3">
    <w:name w:val="heading 3"/>
    <w:basedOn w:val="HeadingBase"/>
    <w:next w:val="BodyText"/>
    <w:link w:val="Heading3Char"/>
    <w:qFormat/>
    <w:rsid w:val="00462FC6"/>
    <w:pPr>
      <w:spacing w:before="180" w:after="120"/>
      <w:outlineLvl w:val="2"/>
    </w:pPr>
    <w:rPr>
      <w:spacing w:val="-10"/>
      <w:kern w:val="32"/>
    </w:rPr>
  </w:style>
  <w:style w:type="paragraph" w:styleId="Heading4">
    <w:name w:val="heading 4"/>
    <w:basedOn w:val="HeadingBase"/>
    <w:next w:val="BodyText"/>
    <w:link w:val="Heading4Char"/>
    <w:qFormat/>
    <w:rsid w:val="00462FC6"/>
    <w:pPr>
      <w:spacing w:before="160" w:after="120"/>
      <w:outlineLvl w:val="3"/>
    </w:pPr>
    <w:rPr>
      <w:sz w:val="22"/>
    </w:rPr>
  </w:style>
  <w:style w:type="paragraph" w:styleId="Heading5">
    <w:name w:val="heading 5"/>
    <w:basedOn w:val="HeadingBase"/>
    <w:next w:val="Normal"/>
    <w:link w:val="Heading5Char"/>
    <w:qFormat/>
    <w:rsid w:val="00462FC6"/>
    <w:pPr>
      <w:spacing w:before="80"/>
      <w:outlineLvl w:val="4"/>
    </w:pPr>
    <w:rPr>
      <w:color w:val="918585"/>
      <w:sz w:val="20"/>
    </w:rPr>
  </w:style>
  <w:style w:type="paragraph" w:styleId="Heading6">
    <w:name w:val="heading 6"/>
    <w:basedOn w:val="HeadingBase"/>
    <w:next w:val="Normal"/>
    <w:link w:val="Heading6Char"/>
    <w:qFormat/>
    <w:rsid w:val="00462FC6"/>
    <w:pPr>
      <w:spacing w:before="60"/>
      <w:outlineLvl w:val="5"/>
    </w:pPr>
    <w:rPr>
      <w:color w:val="918585"/>
      <w:sz w:val="20"/>
    </w:rPr>
  </w:style>
  <w:style w:type="paragraph" w:styleId="Heading7">
    <w:name w:val="heading 7"/>
    <w:basedOn w:val="Normal"/>
    <w:next w:val="Normal"/>
    <w:link w:val="Heading7Char"/>
    <w:qFormat/>
    <w:rsid w:val="00462FC6"/>
    <w:pPr>
      <w:ind w:left="720"/>
      <w:outlineLvl w:val="6"/>
    </w:pPr>
    <w:rPr>
      <w:i/>
    </w:rPr>
  </w:style>
  <w:style w:type="paragraph" w:styleId="Heading8">
    <w:name w:val="heading 8"/>
    <w:basedOn w:val="Normal"/>
    <w:next w:val="Normal"/>
    <w:link w:val="Heading8Char"/>
    <w:qFormat/>
    <w:rsid w:val="00462FC6"/>
    <w:pPr>
      <w:ind w:left="720"/>
      <w:outlineLvl w:val="7"/>
    </w:pPr>
    <w:rPr>
      <w:i/>
    </w:rPr>
  </w:style>
  <w:style w:type="paragraph" w:styleId="Heading9">
    <w:name w:val="heading 9"/>
    <w:basedOn w:val="Normal"/>
    <w:next w:val="Normal"/>
    <w:link w:val="Heading9Char"/>
    <w:qFormat/>
    <w:rsid w:val="00462FC6"/>
    <w:pPr>
      <w:ind w:left="720"/>
      <w:outlineLvl w:val="8"/>
    </w:pPr>
    <w:rPr>
      <w:i/>
    </w:rPr>
  </w:style>
  <w:style w:type="character" w:default="1" w:styleId="DefaultParagraphFont">
    <w:name w:val="Default Paragraph Font"/>
    <w:uiPriority w:val="1"/>
    <w:unhideWhenUsed/>
    <w:rsid w:val="00462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FC6"/>
  </w:style>
  <w:style w:type="character" w:customStyle="1" w:styleId="Heading1Char">
    <w:name w:val="Heading 1 Char"/>
    <w:basedOn w:val="DefaultParagraphFont"/>
    <w:link w:val="Heading1"/>
    <w:rsid w:val="00462FC6"/>
    <w:rPr>
      <w:rFonts w:ascii="Times New Roman" w:eastAsia="Times New Roman" w:hAnsi="Times New Roman" w:cs="Times New Roman"/>
      <w:b/>
      <w:sz w:val="32"/>
      <w:szCs w:val="20"/>
      <w:lang w:eastAsia="en-US"/>
    </w:rPr>
  </w:style>
  <w:style w:type="paragraph" w:styleId="BodyText">
    <w:name w:val="Body Text"/>
    <w:basedOn w:val="Normal"/>
    <w:link w:val="BodyTextChar"/>
    <w:rsid w:val="00462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FC6"/>
    <w:rPr>
      <w:rFonts w:ascii="Times New Roman" w:eastAsia="Times New Roman" w:hAnsi="Times New Roman" w:cs="Times New Roman"/>
      <w:sz w:val="24"/>
      <w:lang w:eastAsia="en-US"/>
    </w:rPr>
  </w:style>
  <w:style w:type="paragraph" w:styleId="ListBullet">
    <w:name w:val="List Bullet"/>
    <w:basedOn w:val="List"/>
    <w:rsid w:val="00462FC6"/>
    <w:pPr>
      <w:numPr>
        <w:numId w:val="11"/>
      </w:numPr>
      <w:tabs>
        <w:tab w:val="clear" w:pos="340"/>
      </w:tabs>
      <w:spacing w:before="40" w:after="40"/>
    </w:pPr>
  </w:style>
  <w:style w:type="character" w:customStyle="1" w:styleId="SpecialBold">
    <w:name w:val="Special Bold"/>
    <w:basedOn w:val="DefaultParagraphFont"/>
    <w:rsid w:val="00462FC6"/>
    <w:rPr>
      <w:b/>
      <w:spacing w:val="0"/>
    </w:rPr>
  </w:style>
  <w:style w:type="paragraph" w:customStyle="1" w:styleId="SuperHeading">
    <w:name w:val="SuperHeading"/>
    <w:basedOn w:val="Normal"/>
    <w:rsid w:val="00462FC6"/>
    <w:pPr>
      <w:spacing w:before="240" w:after="120"/>
      <w:outlineLvl w:val="0"/>
    </w:pPr>
    <w:rPr>
      <w:rFonts w:ascii="Times New Roman" w:hAnsi="Times New Roman"/>
      <w:b/>
      <w:sz w:val="32"/>
    </w:rPr>
  </w:style>
  <w:style w:type="paragraph" w:customStyle="1" w:styleId="AllowPageBreak">
    <w:name w:val="AllowPageBreak"/>
    <w:rsid w:val="00462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FC6"/>
    <w:rPr>
      <w:rFonts w:ascii="Courier New" w:eastAsia="Times New Roman" w:hAnsi="Courier New" w:cs="Times New Roman"/>
      <w:i/>
      <w:szCs w:val="20"/>
      <w:lang w:eastAsia="en-US"/>
    </w:rPr>
  </w:style>
  <w:style w:type="paragraph" w:customStyle="1" w:styleId="HeadingBase">
    <w:name w:val="Heading Base"/>
    <w:rsid w:val="00462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FC6"/>
    <w:pPr>
      <w:tabs>
        <w:tab w:val="right" w:leader="dot" w:pos="9072"/>
      </w:tabs>
      <w:ind w:left="567"/>
    </w:pPr>
    <w:rPr>
      <w:szCs w:val="22"/>
    </w:rPr>
  </w:style>
  <w:style w:type="paragraph" w:customStyle="1" w:styleId="TOCBase">
    <w:name w:val="TOC Base"/>
    <w:rsid w:val="00462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FC6"/>
    <w:pPr>
      <w:tabs>
        <w:tab w:val="right" w:leader="dot" w:pos="9072"/>
      </w:tabs>
      <w:spacing w:before="40" w:after="40"/>
      <w:ind w:left="284"/>
    </w:pPr>
    <w:rPr>
      <w:rFonts w:ascii="Times New Roman" w:hAnsi="Times New Roman"/>
    </w:rPr>
  </w:style>
  <w:style w:type="paragraph" w:styleId="TOC1">
    <w:name w:val="toc 1"/>
    <w:basedOn w:val="TOCBase"/>
    <w:next w:val="Normal"/>
    <w:rsid w:val="00462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FC6"/>
    <w:rPr>
      <w:rFonts w:ascii="Times New Roman" w:eastAsia="Times New Roman" w:hAnsi="Times New Roman" w:cs="Times New Roman"/>
      <w:sz w:val="16"/>
      <w:lang w:eastAsia="en-US"/>
    </w:rPr>
  </w:style>
  <w:style w:type="paragraph" w:styleId="Title">
    <w:name w:val="Title"/>
    <w:basedOn w:val="HeadingBase"/>
    <w:link w:val="TitleChar"/>
    <w:qFormat/>
    <w:rsid w:val="00462FC6"/>
    <w:pPr>
      <w:spacing w:before="5040"/>
      <w:jc w:val="center"/>
    </w:pPr>
    <w:rPr>
      <w:sz w:val="48"/>
      <w:szCs w:val="72"/>
      <w:lang w:val="en-US"/>
    </w:rPr>
  </w:style>
  <w:style w:type="character" w:customStyle="1" w:styleId="TitleChar">
    <w:name w:val="Title Char"/>
    <w:basedOn w:val="DefaultParagraphFont"/>
    <w:link w:val="Title"/>
    <w:rsid w:val="00462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FC6"/>
    <w:pPr>
      <w:tabs>
        <w:tab w:val="left" w:pos="3600"/>
        <w:tab w:val="left" w:pos="3958"/>
      </w:tabs>
    </w:pPr>
  </w:style>
  <w:style w:type="paragraph" w:styleId="List">
    <w:name w:val="List"/>
    <w:basedOn w:val="BodyText"/>
    <w:next w:val="BodyText"/>
    <w:rsid w:val="00462FC6"/>
    <w:pPr>
      <w:tabs>
        <w:tab w:val="left" w:pos="340"/>
      </w:tabs>
      <w:spacing w:before="60" w:after="60"/>
      <w:ind w:left="340" w:hanging="340"/>
    </w:pPr>
  </w:style>
  <w:style w:type="paragraph" w:customStyle="1" w:styleId="Note">
    <w:name w:val="Note"/>
    <w:basedOn w:val="BodyText"/>
    <w:rsid w:val="00462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FC6"/>
    <w:pPr>
      <w:framePr w:wrap="auto" w:hAnchor="text" w:y="6049"/>
    </w:pPr>
    <w:rPr>
      <w:color w:val="000000"/>
      <w:sz w:val="40"/>
    </w:rPr>
  </w:style>
  <w:style w:type="paragraph" w:customStyle="1" w:styleId="TOCTitle">
    <w:name w:val="TOCTitle"/>
    <w:basedOn w:val="Heading1"/>
    <w:rsid w:val="00462FC6"/>
    <w:pPr>
      <w:spacing w:after="240"/>
      <w:jc w:val="center"/>
      <w:outlineLvl w:val="9"/>
    </w:pPr>
    <w:rPr>
      <w:caps/>
    </w:rPr>
  </w:style>
  <w:style w:type="paragraph" w:customStyle="1" w:styleId="Version">
    <w:name w:val="Version"/>
    <w:rsid w:val="00462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FC6"/>
    <w:pPr>
      <w:numPr>
        <w:numId w:val="12"/>
      </w:numPr>
      <w:tabs>
        <w:tab w:val="clear" w:pos="680"/>
      </w:tabs>
    </w:pPr>
  </w:style>
  <w:style w:type="paragraph" w:styleId="Index1">
    <w:name w:val="index 1"/>
    <w:basedOn w:val="Normal"/>
    <w:next w:val="Normal"/>
    <w:semiHidden/>
    <w:rsid w:val="00462FC6"/>
    <w:pPr>
      <w:keepNext w:val="0"/>
      <w:tabs>
        <w:tab w:val="right" w:pos="4176"/>
      </w:tabs>
      <w:ind w:left="198" w:hanging="198"/>
    </w:pPr>
    <w:rPr>
      <w:rFonts w:ascii="Garamond" w:hAnsi="Garamond"/>
    </w:rPr>
  </w:style>
  <w:style w:type="paragraph" w:styleId="IndexHeading">
    <w:name w:val="index heading"/>
    <w:basedOn w:val="Normal"/>
    <w:next w:val="Index1"/>
    <w:semiHidden/>
    <w:rsid w:val="00462FC6"/>
    <w:pPr>
      <w:spacing w:before="120" w:after="120"/>
    </w:pPr>
    <w:rPr>
      <w:rFonts w:ascii="Arial" w:hAnsi="Arial"/>
      <w:b/>
      <w:color w:val="918585"/>
      <w:sz w:val="24"/>
    </w:rPr>
  </w:style>
  <w:style w:type="paragraph" w:styleId="Header">
    <w:name w:val="header"/>
    <w:basedOn w:val="Normal"/>
    <w:link w:val="HeaderChar"/>
    <w:rsid w:val="00462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FC6"/>
    <w:rPr>
      <w:rFonts w:ascii="Times New Roman" w:eastAsia="Times New Roman" w:hAnsi="Times New Roman" w:cs="Times New Roman"/>
      <w:sz w:val="16"/>
      <w:szCs w:val="20"/>
      <w:lang w:val="en-GB" w:eastAsia="en-US"/>
    </w:rPr>
  </w:style>
  <w:style w:type="paragraph" w:customStyle="1" w:styleId="Chapter">
    <w:name w:val="Chapter"/>
    <w:basedOn w:val="Normal"/>
    <w:rsid w:val="00462FC6"/>
    <w:pPr>
      <w:spacing w:before="240"/>
    </w:pPr>
    <w:rPr>
      <w:rFonts w:ascii="Times New Roman" w:hAnsi="Times New Roman"/>
      <w:smallCaps/>
      <w:spacing w:val="80"/>
      <w:sz w:val="28"/>
    </w:rPr>
  </w:style>
  <w:style w:type="paragraph" w:customStyle="1" w:styleId="InChapter">
    <w:name w:val="InChapter"/>
    <w:basedOn w:val="Heading3"/>
    <w:rsid w:val="00462FC6"/>
    <w:pPr>
      <w:spacing w:after="240"/>
      <w:outlineLvl w:val="9"/>
    </w:pPr>
    <w:rPr>
      <w:noProof/>
    </w:rPr>
  </w:style>
  <w:style w:type="paragraph" w:styleId="Index2">
    <w:name w:val="index 2"/>
    <w:basedOn w:val="Normal"/>
    <w:next w:val="Normal"/>
    <w:semiHidden/>
    <w:rsid w:val="00462FC6"/>
    <w:pPr>
      <w:tabs>
        <w:tab w:val="right" w:pos="4176"/>
      </w:tabs>
      <w:ind w:left="568" w:hanging="284"/>
    </w:pPr>
    <w:rPr>
      <w:rFonts w:ascii="Garamond" w:hAnsi="Garamond"/>
    </w:rPr>
  </w:style>
  <w:style w:type="paragraph" w:customStyle="1" w:styleId="Byline">
    <w:name w:val="Byline"/>
    <w:rsid w:val="00462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FC6"/>
    <w:pPr>
      <w:tabs>
        <w:tab w:val="clear" w:pos="3600"/>
        <w:tab w:val="clear" w:pos="3958"/>
      </w:tabs>
      <w:jc w:val="right"/>
    </w:pPr>
  </w:style>
  <w:style w:type="character" w:styleId="Emphasis">
    <w:name w:val="Emphasis"/>
    <w:basedOn w:val="DefaultParagraphFont"/>
    <w:qFormat/>
    <w:rsid w:val="00462FC6"/>
    <w:rPr>
      <w:i/>
    </w:rPr>
  </w:style>
  <w:style w:type="paragraph" w:styleId="Caption">
    <w:name w:val="caption"/>
    <w:basedOn w:val="BodyText"/>
    <w:next w:val="Normal"/>
    <w:qFormat/>
    <w:rsid w:val="00462FC6"/>
    <w:pPr>
      <w:framePr w:w="2268" w:hSpace="181" w:vSpace="181" w:wrap="around" w:vAnchor="text" w:hAnchor="page" w:x="1135" w:y="285" w:anchorLock="1"/>
    </w:pPr>
    <w:rPr>
      <w:i/>
    </w:rPr>
  </w:style>
  <w:style w:type="paragraph" w:customStyle="1" w:styleId="MiniTOCTitle">
    <w:name w:val="MiniTOCTitle"/>
    <w:basedOn w:val="Heading4"/>
    <w:rsid w:val="00462FC6"/>
    <w:pPr>
      <w:spacing w:before="240"/>
      <w:outlineLvl w:val="9"/>
    </w:pPr>
    <w:rPr>
      <w:noProof/>
      <w:sz w:val="24"/>
    </w:rPr>
  </w:style>
  <w:style w:type="paragraph" w:customStyle="1" w:styleId="MiniTOCItem">
    <w:name w:val="MiniTOCItem"/>
    <w:basedOn w:val="ListBullet"/>
    <w:rsid w:val="00462FC6"/>
    <w:pPr>
      <w:numPr>
        <w:numId w:val="0"/>
      </w:numPr>
      <w:tabs>
        <w:tab w:val="right" w:leader="dot" w:pos="6521"/>
      </w:tabs>
      <w:spacing w:before="0" w:after="0"/>
    </w:pPr>
  </w:style>
  <w:style w:type="paragraph" w:customStyle="1" w:styleId="TOFTitle">
    <w:name w:val="TOFTitle"/>
    <w:basedOn w:val="TOCTitle"/>
    <w:rsid w:val="00462FC6"/>
  </w:style>
  <w:style w:type="paragraph" w:styleId="TableofFigures">
    <w:name w:val="table of figures"/>
    <w:basedOn w:val="Normal"/>
    <w:next w:val="Normal"/>
    <w:semiHidden/>
    <w:rsid w:val="00462FC6"/>
    <w:pPr>
      <w:tabs>
        <w:tab w:val="right" w:leader="dot" w:pos="9072"/>
      </w:tabs>
      <w:ind w:left="970" w:hanging="403"/>
    </w:pPr>
    <w:rPr>
      <w:rFonts w:ascii="Times New Roman" w:hAnsi="Times New Roman"/>
      <w:b/>
    </w:rPr>
  </w:style>
  <w:style w:type="paragraph" w:styleId="ListNumber">
    <w:name w:val="List Number"/>
    <w:basedOn w:val="List"/>
    <w:rsid w:val="00462FC6"/>
    <w:pPr>
      <w:numPr>
        <w:numId w:val="14"/>
      </w:numPr>
      <w:tabs>
        <w:tab w:val="clear" w:pos="340"/>
      </w:tabs>
    </w:pPr>
  </w:style>
  <w:style w:type="character" w:customStyle="1" w:styleId="WingdingSymbols">
    <w:name w:val="Wingding Symbols"/>
    <w:rsid w:val="00462FC6"/>
    <w:rPr>
      <w:rFonts w:ascii="Wingdings" w:hAnsi="Wingdings"/>
    </w:rPr>
  </w:style>
  <w:style w:type="paragraph" w:customStyle="1" w:styleId="TableHeading">
    <w:name w:val="Table Heading"/>
    <w:basedOn w:val="HeadingBase"/>
    <w:rsid w:val="00462FC6"/>
    <w:pPr>
      <w:keepLines/>
      <w:pBdr>
        <w:bottom w:val="single" w:sz="6" w:space="1" w:color="918585"/>
      </w:pBdr>
      <w:spacing w:before="240"/>
    </w:pPr>
  </w:style>
  <w:style w:type="character" w:customStyle="1" w:styleId="HotSpot">
    <w:name w:val="HotSpot"/>
    <w:rsid w:val="00462FC6"/>
    <w:rPr>
      <w:color w:val="0033CC"/>
      <w:u w:val="none"/>
    </w:rPr>
  </w:style>
  <w:style w:type="paragraph" w:customStyle="1" w:styleId="BodyTextRight">
    <w:name w:val="Body Text Right"/>
    <w:basedOn w:val="BodyText"/>
    <w:rsid w:val="00462FC6"/>
    <w:pPr>
      <w:spacing w:before="0" w:after="0"/>
      <w:jc w:val="right"/>
    </w:pPr>
  </w:style>
  <w:style w:type="paragraph" w:styleId="Index3">
    <w:name w:val="index 3"/>
    <w:basedOn w:val="ListNumber2"/>
    <w:next w:val="Normal"/>
    <w:semiHidden/>
    <w:rsid w:val="00462FC6"/>
    <w:pPr>
      <w:numPr>
        <w:numId w:val="0"/>
      </w:numPr>
      <w:tabs>
        <w:tab w:val="right" w:leader="dot" w:pos="4176"/>
      </w:tabs>
    </w:pPr>
  </w:style>
  <w:style w:type="paragraph" w:styleId="ListNumber2">
    <w:name w:val="List Number 2"/>
    <w:basedOn w:val="List2"/>
    <w:rsid w:val="00462FC6"/>
    <w:pPr>
      <w:numPr>
        <w:numId w:val="9"/>
      </w:numPr>
      <w:tabs>
        <w:tab w:val="clear" w:pos="1060"/>
      </w:tabs>
    </w:pPr>
  </w:style>
  <w:style w:type="paragraph" w:customStyle="1" w:styleId="MarginNote">
    <w:name w:val="Margin Note"/>
    <w:basedOn w:val="BodyText"/>
    <w:rsid w:val="00462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FC6"/>
    <w:rPr>
      <w:sz w:val="32"/>
    </w:rPr>
  </w:style>
  <w:style w:type="paragraph" w:customStyle="1" w:styleId="HeadingProcedure">
    <w:name w:val="Heading Procedure"/>
    <w:basedOn w:val="HeadingBase"/>
    <w:next w:val="Normal"/>
    <w:rsid w:val="00462FC6"/>
    <w:pPr>
      <w:tabs>
        <w:tab w:val="left" w:pos="0"/>
      </w:tabs>
      <w:spacing w:before="120" w:after="60"/>
    </w:pPr>
    <w:rPr>
      <w:i/>
      <w:color w:val="918585"/>
      <w:sz w:val="22"/>
    </w:rPr>
  </w:style>
  <w:style w:type="paragraph" w:customStyle="1" w:styleId="TableBodyText">
    <w:name w:val="Table Body Text"/>
    <w:basedOn w:val="BodyText"/>
    <w:rsid w:val="00462FC6"/>
    <w:pPr>
      <w:spacing w:before="60" w:after="60"/>
    </w:pPr>
  </w:style>
  <w:style w:type="paragraph" w:styleId="ListContinue">
    <w:name w:val="List Continue"/>
    <w:basedOn w:val="List"/>
    <w:rsid w:val="00462FC6"/>
    <w:pPr>
      <w:ind w:firstLine="0"/>
    </w:pPr>
  </w:style>
  <w:style w:type="paragraph" w:customStyle="1" w:styleId="ListNote">
    <w:name w:val="List Note"/>
    <w:basedOn w:val="List"/>
    <w:rsid w:val="00462FC6"/>
    <w:pPr>
      <w:pBdr>
        <w:top w:val="single" w:sz="6" w:space="2" w:color="918585"/>
        <w:bottom w:val="single" w:sz="6" w:space="2" w:color="918585"/>
      </w:pBdr>
      <w:tabs>
        <w:tab w:val="left" w:pos="1021"/>
      </w:tabs>
      <w:ind w:firstLine="0"/>
    </w:pPr>
  </w:style>
  <w:style w:type="paragraph" w:customStyle="1" w:styleId="Warning">
    <w:name w:val="Warning"/>
    <w:basedOn w:val="BodyText"/>
    <w:rsid w:val="00462FC6"/>
    <w:pPr>
      <w:shd w:val="clear" w:color="auto" w:fill="D9D9D9"/>
      <w:tabs>
        <w:tab w:val="left" w:pos="992"/>
      </w:tabs>
      <w:ind w:left="119" w:right="119"/>
    </w:pPr>
    <w:rPr>
      <w:sz w:val="20"/>
    </w:rPr>
  </w:style>
  <w:style w:type="paragraph" w:customStyle="1" w:styleId="MarginIcons">
    <w:name w:val="Margin Icons"/>
    <w:basedOn w:val="BodyText"/>
    <w:rsid w:val="00462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FC6"/>
    <w:rPr>
      <w:rFonts w:ascii="Courier New" w:hAnsi="Courier New"/>
    </w:rPr>
  </w:style>
  <w:style w:type="paragraph" w:customStyle="1" w:styleId="NoteBullet">
    <w:name w:val="Note Bullet"/>
    <w:basedOn w:val="Note"/>
    <w:rsid w:val="00462FC6"/>
    <w:pPr>
      <w:tabs>
        <w:tab w:val="clear" w:pos="680"/>
      </w:tabs>
      <w:spacing w:before="60" w:after="60"/>
    </w:pPr>
  </w:style>
  <w:style w:type="paragraph" w:customStyle="1" w:styleId="SubHeading2">
    <w:name w:val="SubHeading2"/>
    <w:basedOn w:val="HeadingBase"/>
    <w:rsid w:val="00462FC6"/>
    <w:pPr>
      <w:spacing w:before="240" w:after="60"/>
    </w:pPr>
    <w:rPr>
      <w:sz w:val="20"/>
    </w:rPr>
  </w:style>
  <w:style w:type="paragraph" w:customStyle="1" w:styleId="SubHeading1">
    <w:name w:val="SubHeading1"/>
    <w:basedOn w:val="HeadingBase"/>
    <w:rsid w:val="00462FC6"/>
    <w:pPr>
      <w:spacing w:before="240" w:after="60"/>
    </w:pPr>
    <w:rPr>
      <w:color w:val="918585"/>
      <w:sz w:val="22"/>
    </w:rPr>
  </w:style>
  <w:style w:type="paragraph" w:customStyle="1" w:styleId="SideHeading">
    <w:name w:val="Side Heading"/>
    <w:basedOn w:val="HeadingBase"/>
    <w:rsid w:val="00462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FC6"/>
    <w:pPr>
      <w:numPr>
        <w:numId w:val="10"/>
      </w:numPr>
    </w:pPr>
  </w:style>
  <w:style w:type="paragraph" w:styleId="PlainText">
    <w:name w:val="Plain Text"/>
    <w:basedOn w:val="Normal"/>
    <w:link w:val="PlainTextChar"/>
    <w:rsid w:val="00462FC6"/>
    <w:rPr>
      <w:sz w:val="20"/>
    </w:rPr>
  </w:style>
  <w:style w:type="character" w:customStyle="1" w:styleId="PlainTextChar">
    <w:name w:val="Plain Text Char"/>
    <w:basedOn w:val="DefaultParagraphFont"/>
    <w:link w:val="PlainText"/>
    <w:rsid w:val="00462FC6"/>
    <w:rPr>
      <w:rFonts w:ascii="Courier New" w:eastAsia="Times New Roman" w:hAnsi="Courier New" w:cs="Times New Roman"/>
      <w:sz w:val="20"/>
      <w:szCs w:val="20"/>
      <w:lang w:eastAsia="en-US"/>
    </w:rPr>
  </w:style>
  <w:style w:type="character" w:customStyle="1" w:styleId="MenuOption">
    <w:name w:val="Menu Option"/>
    <w:basedOn w:val="DefaultParagraphFont"/>
    <w:rsid w:val="00462FC6"/>
    <w:rPr>
      <w:b/>
      <w:smallCaps/>
    </w:rPr>
  </w:style>
  <w:style w:type="paragraph" w:customStyle="1" w:styleId="TableListNumber">
    <w:name w:val="Table List Number"/>
    <w:basedOn w:val="ListNumber"/>
    <w:rsid w:val="00462FC6"/>
    <w:pPr>
      <w:numPr>
        <w:numId w:val="0"/>
      </w:numPr>
    </w:pPr>
  </w:style>
  <w:style w:type="paragraph" w:styleId="TOC4">
    <w:name w:val="toc 4"/>
    <w:basedOn w:val="TOCBase"/>
    <w:next w:val="Normal"/>
    <w:semiHidden/>
    <w:rsid w:val="00462FC6"/>
    <w:pPr>
      <w:tabs>
        <w:tab w:val="right" w:leader="dot" w:pos="9071"/>
      </w:tabs>
      <w:ind w:left="1701"/>
    </w:pPr>
  </w:style>
  <w:style w:type="paragraph" w:customStyle="1" w:styleId="ListAlpha">
    <w:name w:val="List Alpha"/>
    <w:basedOn w:val="List"/>
    <w:rsid w:val="00462FC6"/>
    <w:pPr>
      <w:numPr>
        <w:numId w:val="8"/>
      </w:numPr>
    </w:pPr>
  </w:style>
  <w:style w:type="paragraph" w:customStyle="1" w:styleId="ListAlpha2">
    <w:name w:val="List Alpha 2"/>
    <w:basedOn w:val="List2"/>
    <w:rsid w:val="00462FC6"/>
    <w:pPr>
      <w:numPr>
        <w:numId w:val="7"/>
      </w:numPr>
    </w:pPr>
  </w:style>
  <w:style w:type="paragraph" w:styleId="List2">
    <w:name w:val="List 2"/>
    <w:basedOn w:val="BodyText"/>
    <w:rsid w:val="00462FC6"/>
    <w:pPr>
      <w:tabs>
        <w:tab w:val="left" w:pos="680"/>
      </w:tabs>
      <w:spacing w:before="60" w:after="60"/>
      <w:ind w:left="680" w:hanging="340"/>
    </w:pPr>
  </w:style>
  <w:style w:type="paragraph" w:styleId="List3">
    <w:name w:val="List 3"/>
    <w:basedOn w:val="BodyText"/>
    <w:rsid w:val="00462FC6"/>
    <w:pPr>
      <w:tabs>
        <w:tab w:val="left" w:pos="1021"/>
      </w:tabs>
      <w:spacing w:before="60" w:after="60"/>
      <w:ind w:left="1020" w:hanging="340"/>
    </w:pPr>
  </w:style>
  <w:style w:type="paragraph" w:styleId="List4">
    <w:name w:val="List 4"/>
    <w:basedOn w:val="BodyText"/>
    <w:rsid w:val="00462FC6"/>
    <w:pPr>
      <w:tabs>
        <w:tab w:val="left" w:pos="1361"/>
      </w:tabs>
      <w:spacing w:before="60" w:after="60"/>
      <w:ind w:left="1361" w:hanging="340"/>
    </w:pPr>
  </w:style>
  <w:style w:type="paragraph" w:styleId="List5">
    <w:name w:val="List 5"/>
    <w:basedOn w:val="BodyText"/>
    <w:rsid w:val="00462FC6"/>
    <w:pPr>
      <w:tabs>
        <w:tab w:val="left" w:pos="1701"/>
      </w:tabs>
      <w:spacing w:before="60" w:after="60"/>
      <w:ind w:left="1701" w:hanging="340"/>
    </w:pPr>
  </w:style>
  <w:style w:type="paragraph" w:styleId="ListBullet3">
    <w:name w:val="List Bullet 3"/>
    <w:basedOn w:val="List3"/>
    <w:rsid w:val="00462FC6"/>
    <w:pPr>
      <w:numPr>
        <w:numId w:val="13"/>
      </w:numPr>
      <w:tabs>
        <w:tab w:val="clear" w:pos="1021"/>
      </w:tabs>
      <w:ind w:left="1037" w:hanging="357"/>
    </w:pPr>
  </w:style>
  <w:style w:type="paragraph" w:styleId="ListBullet4">
    <w:name w:val="List Bullet 4"/>
    <w:basedOn w:val="List4"/>
    <w:rsid w:val="00462FC6"/>
    <w:pPr>
      <w:numPr>
        <w:numId w:val="2"/>
      </w:numPr>
      <w:tabs>
        <w:tab w:val="clear" w:pos="1361"/>
      </w:tabs>
    </w:pPr>
  </w:style>
  <w:style w:type="paragraph" w:styleId="ListBullet5">
    <w:name w:val="List Bullet 5"/>
    <w:basedOn w:val="List5"/>
    <w:rsid w:val="00462FC6"/>
    <w:pPr>
      <w:numPr>
        <w:numId w:val="3"/>
      </w:numPr>
    </w:pPr>
  </w:style>
  <w:style w:type="paragraph" w:styleId="ListContinue2">
    <w:name w:val="List Continue 2"/>
    <w:basedOn w:val="List2"/>
    <w:rsid w:val="00462FC6"/>
    <w:pPr>
      <w:ind w:firstLine="0"/>
    </w:pPr>
  </w:style>
  <w:style w:type="paragraph" w:styleId="ListContinue3">
    <w:name w:val="List Continue 3"/>
    <w:basedOn w:val="List3"/>
    <w:rsid w:val="00462FC6"/>
    <w:pPr>
      <w:ind w:left="1021" w:firstLine="0"/>
    </w:pPr>
  </w:style>
  <w:style w:type="paragraph" w:styleId="ListContinue4">
    <w:name w:val="List Continue 4"/>
    <w:basedOn w:val="List4"/>
    <w:rsid w:val="00462FC6"/>
    <w:pPr>
      <w:ind w:firstLine="0"/>
    </w:pPr>
  </w:style>
  <w:style w:type="paragraph" w:styleId="ListContinue5">
    <w:name w:val="List Continue 5"/>
    <w:basedOn w:val="List5"/>
    <w:rsid w:val="00462FC6"/>
    <w:pPr>
      <w:ind w:firstLine="0"/>
    </w:pPr>
  </w:style>
  <w:style w:type="paragraph" w:styleId="ListNumber3">
    <w:name w:val="List Number 3"/>
    <w:basedOn w:val="List3"/>
    <w:rsid w:val="00462FC6"/>
    <w:pPr>
      <w:numPr>
        <w:numId w:val="4"/>
      </w:numPr>
    </w:pPr>
  </w:style>
  <w:style w:type="paragraph" w:styleId="ListNumber4">
    <w:name w:val="List Number 4"/>
    <w:basedOn w:val="List4"/>
    <w:rsid w:val="00462FC6"/>
    <w:pPr>
      <w:numPr>
        <w:numId w:val="5"/>
      </w:numPr>
    </w:pPr>
  </w:style>
  <w:style w:type="paragraph" w:styleId="ListNumber5">
    <w:name w:val="List Number 5"/>
    <w:basedOn w:val="List5"/>
    <w:rsid w:val="00462FC6"/>
    <w:pPr>
      <w:numPr>
        <w:numId w:val="6"/>
      </w:numPr>
    </w:pPr>
  </w:style>
  <w:style w:type="paragraph" w:styleId="BlockText">
    <w:name w:val="Block Text"/>
    <w:basedOn w:val="Normal"/>
    <w:rsid w:val="00462FC6"/>
    <w:pPr>
      <w:spacing w:after="120"/>
      <w:ind w:left="1440" w:right="1440"/>
    </w:pPr>
  </w:style>
  <w:style w:type="character" w:customStyle="1" w:styleId="Subscript">
    <w:name w:val="Subscript"/>
    <w:basedOn w:val="DefaultParagraphFont"/>
    <w:rsid w:val="00462FC6"/>
    <w:rPr>
      <w:sz w:val="16"/>
      <w:vertAlign w:val="subscript"/>
    </w:rPr>
  </w:style>
  <w:style w:type="character" w:customStyle="1" w:styleId="Superscript">
    <w:name w:val="Superscript"/>
    <w:basedOn w:val="DefaultParagraphFont"/>
    <w:rsid w:val="00462FC6"/>
    <w:rPr>
      <w:sz w:val="16"/>
      <w:vertAlign w:val="superscript"/>
    </w:rPr>
  </w:style>
  <w:style w:type="character" w:customStyle="1" w:styleId="Symbols">
    <w:name w:val="Symbols"/>
    <w:basedOn w:val="DefaultParagraphFont"/>
    <w:rsid w:val="00462FC6"/>
    <w:rPr>
      <w:rFonts w:ascii="Symbol" w:hAnsi="Symbol"/>
    </w:rPr>
  </w:style>
  <w:style w:type="character" w:customStyle="1" w:styleId="MenuOptions">
    <w:name w:val="Menu Options"/>
    <w:basedOn w:val="DefaultParagraphFont"/>
    <w:rsid w:val="00462FC6"/>
    <w:rPr>
      <w:rFonts w:ascii="Arial Narrow" w:hAnsi="Arial Narrow"/>
      <w:smallCaps/>
    </w:rPr>
  </w:style>
  <w:style w:type="character" w:customStyle="1" w:styleId="Buttons">
    <w:name w:val="Buttons"/>
    <w:basedOn w:val="DefaultParagraphFont"/>
    <w:rsid w:val="00462FC6"/>
    <w:rPr>
      <w:b/>
    </w:rPr>
  </w:style>
  <w:style w:type="character" w:customStyle="1" w:styleId="Underlined">
    <w:name w:val="Underlined"/>
    <w:basedOn w:val="DefaultParagraphFont"/>
    <w:rsid w:val="00462FC6"/>
    <w:rPr>
      <w:u w:val="single"/>
    </w:rPr>
  </w:style>
  <w:style w:type="paragraph" w:customStyle="1" w:styleId="TableBodyTextRight">
    <w:name w:val="Table Body Text Right"/>
    <w:basedOn w:val="TableBodyText"/>
    <w:rsid w:val="00462FC6"/>
    <w:pPr>
      <w:widowControl w:val="0"/>
      <w:autoSpaceDE w:val="0"/>
      <w:autoSpaceDN w:val="0"/>
      <w:adjustRightInd w:val="0"/>
      <w:jc w:val="right"/>
    </w:pPr>
    <w:rPr>
      <w:rFonts w:cs="Arial"/>
      <w:szCs w:val="18"/>
    </w:rPr>
  </w:style>
  <w:style w:type="paragraph" w:customStyle="1" w:styleId="CopyrightText">
    <w:name w:val="Copyright Text"/>
    <w:basedOn w:val="BodyText"/>
    <w:rsid w:val="00462FC6"/>
    <w:rPr>
      <w:sz w:val="18"/>
    </w:rPr>
  </w:style>
  <w:style w:type="paragraph" w:customStyle="1" w:styleId="BodySmallRight">
    <w:name w:val="Body Small Right"/>
    <w:basedOn w:val="BodyTextRight"/>
    <w:rsid w:val="00462FC6"/>
    <w:rPr>
      <w:sz w:val="18"/>
      <w:szCs w:val="18"/>
    </w:rPr>
  </w:style>
  <w:style w:type="paragraph" w:customStyle="1" w:styleId="MarginEdition">
    <w:name w:val="Margin Edition"/>
    <w:basedOn w:val="MarginNote"/>
    <w:rsid w:val="00462FC6"/>
    <w:pPr>
      <w:spacing w:before="0" w:after="0"/>
    </w:pPr>
    <w:rPr>
      <w:rFonts w:ascii="Times New Roman" w:hAnsi="Times New Roman"/>
      <w:color w:val="999999"/>
    </w:rPr>
  </w:style>
  <w:style w:type="paragraph" w:customStyle="1" w:styleId="Spacer">
    <w:name w:val="Spacer"/>
    <w:basedOn w:val="Normal"/>
    <w:rsid w:val="00462FC6"/>
    <w:rPr>
      <w:sz w:val="2"/>
      <w:szCs w:val="2"/>
    </w:rPr>
  </w:style>
  <w:style w:type="character" w:customStyle="1" w:styleId="Small">
    <w:name w:val="Small"/>
    <w:basedOn w:val="DefaultParagraphFont"/>
    <w:rsid w:val="00462FC6"/>
    <w:rPr>
      <w:sz w:val="16"/>
    </w:rPr>
  </w:style>
  <w:style w:type="paragraph" w:customStyle="1" w:styleId="WideTable">
    <w:name w:val="Wide Table"/>
    <w:basedOn w:val="Normal"/>
    <w:rsid w:val="00462FC6"/>
    <w:pPr>
      <w:ind w:left="-1418"/>
    </w:pPr>
    <w:rPr>
      <w:sz w:val="2"/>
      <w:szCs w:val="2"/>
    </w:rPr>
  </w:style>
  <w:style w:type="character" w:styleId="PageNumber">
    <w:name w:val="page number"/>
    <w:basedOn w:val="DefaultParagraphFont"/>
    <w:rsid w:val="00462FC6"/>
  </w:style>
  <w:style w:type="paragraph" w:styleId="Quote">
    <w:name w:val="Quote"/>
    <w:basedOn w:val="Heading1"/>
    <w:link w:val="QuoteChar"/>
    <w:qFormat/>
    <w:rsid w:val="00462FC6"/>
    <w:rPr>
      <w:b w:val="0"/>
      <w:sz w:val="72"/>
      <w:szCs w:val="72"/>
      <w:lang w:val="en-NZ"/>
    </w:rPr>
  </w:style>
  <w:style w:type="character" w:customStyle="1" w:styleId="QuoteChar">
    <w:name w:val="Quote Char"/>
    <w:basedOn w:val="DefaultParagraphFont"/>
    <w:link w:val="Quote"/>
    <w:rsid w:val="00462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FC6"/>
    <w:pPr>
      <w:pageBreakBefore/>
    </w:pPr>
  </w:style>
  <w:style w:type="paragraph" w:customStyle="1" w:styleId="Border">
    <w:name w:val="Border"/>
    <w:basedOn w:val="Normal"/>
    <w:qFormat/>
    <w:rsid w:val="00462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FC6"/>
    <w:rPr>
      <w:b/>
      <w:bCs/>
      <w:i/>
      <w:iCs/>
      <w:color w:val="auto"/>
    </w:rPr>
  </w:style>
  <w:style w:type="paragraph" w:styleId="IntenseQuote">
    <w:name w:val="Intense Quote"/>
    <w:basedOn w:val="Normal"/>
    <w:next w:val="Normal"/>
    <w:link w:val="IntenseQuoteChar"/>
    <w:uiPriority w:val="30"/>
    <w:qFormat/>
    <w:rsid w:val="00462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FC6"/>
    <w:rPr>
      <w:smallCaps/>
      <w:color w:val="auto"/>
      <w:u w:val="single"/>
    </w:rPr>
  </w:style>
  <w:style w:type="character" w:styleId="IntenseReference">
    <w:name w:val="Intense Reference"/>
    <w:basedOn w:val="DefaultParagraphFont"/>
    <w:uiPriority w:val="32"/>
    <w:qFormat/>
    <w:rsid w:val="00462FC6"/>
    <w:rPr>
      <w:b/>
      <w:bCs/>
      <w:smallCaps/>
      <w:color w:val="auto"/>
      <w:spacing w:val="5"/>
      <w:u w:val="single"/>
    </w:rPr>
  </w:style>
  <w:style w:type="paragraph" w:customStyle="1" w:styleId="2ColumnHeading">
    <w:name w:val="2Column Heading"/>
    <w:basedOn w:val="BodyText"/>
    <w:qFormat/>
    <w:rsid w:val="00462FC6"/>
    <w:pPr>
      <w:spacing w:after="60"/>
      <w:ind w:left="-2268"/>
    </w:pPr>
    <w:rPr>
      <w:b/>
    </w:rPr>
  </w:style>
  <w:style w:type="paragraph" w:customStyle="1" w:styleId="Heading1TOC">
    <w:name w:val="Heading1 TOC"/>
    <w:basedOn w:val="Normal"/>
    <w:qFormat/>
    <w:rsid w:val="00462FC6"/>
    <w:pPr>
      <w:spacing w:before="240" w:after="120"/>
    </w:pPr>
    <w:rPr>
      <w:rFonts w:ascii="Times New Roman" w:hAnsi="Times New Roman"/>
      <w:b/>
      <w:sz w:val="32"/>
    </w:rPr>
  </w:style>
  <w:style w:type="paragraph" w:customStyle="1" w:styleId="Heading2TOC">
    <w:name w:val="Heading2 TOC"/>
    <w:basedOn w:val="Normal"/>
    <w:qFormat/>
    <w:rsid w:val="00462FC6"/>
    <w:pPr>
      <w:spacing w:before="240" w:after="60"/>
    </w:pPr>
    <w:rPr>
      <w:rFonts w:ascii="Times New Roman" w:hAnsi="Times New Roman"/>
      <w:b/>
      <w:sz w:val="28"/>
    </w:rPr>
  </w:style>
  <w:style w:type="character" w:customStyle="1" w:styleId="Underline">
    <w:name w:val="Underline"/>
    <w:basedOn w:val="DefaultParagraphFont"/>
    <w:qFormat/>
    <w:rsid w:val="00462FC6"/>
    <w:rPr>
      <w:u w:val="single"/>
    </w:rPr>
  </w:style>
  <w:style w:type="character" w:customStyle="1" w:styleId="BoldandItalics">
    <w:name w:val="Bold and Italics"/>
    <w:qFormat/>
    <w:rsid w:val="00462FC6"/>
    <w:rPr>
      <w:b/>
      <w:i/>
      <w:u w:val="none"/>
    </w:rPr>
  </w:style>
  <w:style w:type="paragraph" w:styleId="BalloonText">
    <w:name w:val="Balloon Text"/>
    <w:basedOn w:val="Normal"/>
    <w:link w:val="BalloonTextChar"/>
    <w:rsid w:val="00462FC6"/>
    <w:rPr>
      <w:rFonts w:ascii="Tahoma" w:hAnsi="Tahoma" w:cs="Tahoma"/>
      <w:sz w:val="16"/>
      <w:szCs w:val="16"/>
    </w:rPr>
  </w:style>
  <w:style w:type="character" w:customStyle="1" w:styleId="BalloonTextChar">
    <w:name w:val="Balloon Text Char"/>
    <w:basedOn w:val="DefaultParagraphFont"/>
    <w:link w:val="BalloonText"/>
    <w:rsid w:val="00462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FC6"/>
    <w:rPr>
      <w:b/>
      <w:color w:val="660033"/>
      <w:spacing w:val="0"/>
    </w:rPr>
  </w:style>
  <w:style w:type="paragraph" w:customStyle="1" w:styleId="Nameditemlist">
    <w:name w:val="Named item list"/>
    <w:basedOn w:val="BodyText"/>
    <w:qFormat/>
    <w:rsid w:val="00462FC6"/>
    <w:pPr>
      <w:tabs>
        <w:tab w:val="left" w:pos="2835"/>
      </w:tabs>
      <w:ind w:left="2835" w:hanging="2835"/>
    </w:pPr>
  </w:style>
  <w:style w:type="paragraph" w:customStyle="1" w:styleId="BodyTextnopadding">
    <w:name w:val="Body Text no padding"/>
    <w:basedOn w:val="BodyText"/>
    <w:qFormat/>
    <w:rsid w:val="00462FC6"/>
    <w:pPr>
      <w:spacing w:before="0" w:after="0"/>
    </w:pPr>
  </w:style>
  <w:style w:type="paragraph" w:customStyle="1" w:styleId="BodyTextBold">
    <w:name w:val="Body Text Bold"/>
    <w:basedOn w:val="BodyText"/>
    <w:qFormat/>
    <w:rsid w:val="00462FC6"/>
    <w:rPr>
      <w:b/>
    </w:rPr>
  </w:style>
  <w:style w:type="character" w:styleId="Hyperlink">
    <w:name w:val="Hyperlink"/>
    <w:basedOn w:val="DefaultParagraphFont"/>
    <w:uiPriority w:val="99"/>
    <w:unhideWhenUsed/>
    <w:rsid w:val="00236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5910</Characters>
  <Application>Microsoft Office Word</Application>
  <DocSecurity>0</DocSecurity>
  <Lines>295</Lines>
  <Paragraphs>174</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MEM20010 Gain entry and reinstate automotive locking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2021-03-31T03:11:00Z</dcterms:created>
  <dcterms:modified xsi:type="dcterms:W3CDTF">2021-03-31T03:11:00Z</dcterms:modified>
</cp:coreProperties>
</file>