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857" w:rsidP="00D96857">
      <w:pPr>
        <w:pStyle w:val="Title"/>
      </w:pPr>
      <w:r>
        <w:fldChar w:fldCharType="begin"/>
      </w:r>
      <w:r>
        <w:instrText xml:space="preserve"> TITLE   \* MERGEFORMAT </w:instrText>
      </w:r>
      <w:r>
        <w:fldChar w:fldCharType="separate"/>
      </w:r>
      <w:r>
        <w:t>MEM20010 Gain entry and reinstate automotive locking systems</w:t>
      </w:r>
      <w:r>
        <w:fldChar w:fldCharType="end"/>
      </w:r>
    </w:p>
    <w:p w:rsidR="00D96857" w:rsidP="00D96857">
      <w:pPr>
        <w:pStyle w:val="Version"/>
        <w:sectPr w:rsidSect="008B6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BC0" w:rsidP="008B6BC0">
      <w:pPr>
        <w:pStyle w:val="SuperHeading"/>
      </w:pPr>
      <w:r w:rsidRPr="008B6BC0">
        <w:t>MEM20010 Gain entry and reinstate automotive locking systems</w:t>
      </w:r>
    </w:p>
    <w:p w:rsidR="00000000" w:rsidRPr="008B6BC0" w:rsidP="008B6BC0">
      <w:pPr>
        <w:pStyle w:val="Heading1"/>
      </w:pPr>
      <w:bookmarkStart w:id="1" w:name="O_951027"/>
      <w:bookmarkEnd w:id="1"/>
      <w:r w:rsidRPr="008B6BC0">
        <w:t>Modification History</w:t>
      </w:r>
    </w:p>
    <w:p w:rsidR="00000000" w:rsidRPr="008B6BC0" w:rsidP="00D96857">
      <w:pPr>
        <w:pStyle w:val="BodyText"/>
      </w:pPr>
      <w:r w:rsidRPr="008B6BC0">
        <w:t xml:space="preserve">Release 1. Supersedes and is equivalent to MEM20010A Gain entry and reinstate automotive locking systems </w:t>
      </w:r>
    </w:p>
    <w:p w:rsidR="00000000" w:rsidRPr="008B6BC0" w:rsidP="008B6BC0">
      <w:pPr>
        <w:pStyle w:val="Heading1"/>
      </w:pPr>
      <w:bookmarkStart w:id="2" w:name="O_951035"/>
      <w:bookmarkEnd w:id="2"/>
      <w:r w:rsidRPr="008B6BC0">
        <w:t>Application</w:t>
      </w:r>
    </w:p>
    <w:p w:rsidR="00000000" w:rsidRPr="008B6BC0" w:rsidP="00D96857">
      <w:pPr>
        <w:pStyle w:val="BodyText"/>
      </w:pPr>
      <w:r w:rsidRPr="008B6BC0">
        <w:t>This unit of competency defines the skills and knowledge required to gain entry to a</w:t>
      </w:r>
      <w:r w:rsidRPr="008B6BC0">
        <w:t>ll types of automobiles fitted with mechanical and/or electronic locking systems, and covers straightforward reinstatement of the vehicle locking system by removal and replacement of component parts.</w:t>
      </w:r>
    </w:p>
    <w:p w:rsidR="00000000" w:rsidRPr="008B6BC0" w:rsidP="00D96857">
      <w:pPr>
        <w:pStyle w:val="BodyText"/>
      </w:pPr>
      <w:r w:rsidRPr="008B6BC0">
        <w:t xml:space="preserve">Where interpretation of detailed, complex manufacturer </w:t>
      </w:r>
      <w:r w:rsidRPr="008B6BC0">
        <w:t>information and specifications is required unit MEM16012 Interpret technical specifications and manuals should also be selected.</w:t>
      </w:r>
    </w:p>
    <w:p w:rsidR="00000000" w:rsidRPr="008B6BC0" w:rsidP="00D96857">
      <w:pPr>
        <w:pStyle w:val="BodyText"/>
      </w:pPr>
      <w:r w:rsidRPr="008B6BC0">
        <w:t>Where repairs greater than straightforward remove and replace are required unit MEM20012 Service and repair mechanical automot</w:t>
      </w:r>
      <w:r w:rsidRPr="008B6BC0">
        <w:t>ive locking systems should also be selected.</w:t>
      </w:r>
    </w:p>
    <w:p w:rsidR="00000000" w:rsidRPr="008B6BC0" w:rsidP="00D96857">
      <w:pPr>
        <w:pStyle w:val="BodyText"/>
      </w:pPr>
      <w:r w:rsidRPr="008B6BC0">
        <w:t xml:space="preserve">No licensing, legislative or certification requirements apply to this unit at the time of publication. </w:t>
      </w:r>
    </w:p>
    <w:p w:rsidR="00000000" w:rsidRPr="008B6BC0" w:rsidP="008B6BC0">
      <w:pPr>
        <w:pStyle w:val="BodyText"/>
      </w:pPr>
      <w:r w:rsidRPr="008B6BC0">
        <w:rPr>
          <w:rStyle w:val="SpecialBold"/>
        </w:rPr>
        <w:t>Band</w:t>
      </w:r>
      <w:r w:rsidRPr="008B6BC0">
        <w:t>:</w:t>
      </w:r>
      <w:r w:rsidRPr="008B6BC0">
        <w:tab/>
      </w:r>
      <w:r w:rsidRPr="008B6BC0">
        <w:rPr>
          <w:rStyle w:val="SpecialBold"/>
        </w:rPr>
        <w:t>A</w:t>
      </w:r>
    </w:p>
    <w:p w:rsidR="00000000" w:rsidRPr="008B6BC0" w:rsidP="008B6BC0">
      <w:pPr>
        <w:pStyle w:val="BodyText"/>
      </w:pPr>
      <w:r w:rsidRPr="008B6BC0">
        <w:rPr>
          <w:rStyle w:val="SpecialBold"/>
        </w:rPr>
        <w:t>Unit Weight</w:t>
      </w:r>
      <w:r w:rsidRPr="008B6BC0">
        <w:t>:</w:t>
      </w:r>
      <w:r w:rsidRPr="008B6BC0">
        <w:tab/>
      </w:r>
      <w:r w:rsidRPr="008B6BC0">
        <w:rPr>
          <w:rStyle w:val="SpecialBold"/>
        </w:rPr>
        <w:t>4</w:t>
      </w:r>
    </w:p>
    <w:p w:rsidR="00000000" w:rsidRPr="008B6BC0" w:rsidP="008B6BC0">
      <w:pPr>
        <w:pStyle w:val="AllowPageBreak"/>
      </w:pPr>
    </w:p>
    <w:p w:rsidR="00000000" w:rsidRPr="008B6BC0" w:rsidP="008B6BC0">
      <w:pPr>
        <w:pStyle w:val="Heading1"/>
      </w:pPr>
      <w:bookmarkStart w:id="3" w:name="O_951034"/>
      <w:bookmarkEnd w:id="3"/>
      <w:r w:rsidRPr="008B6BC0">
        <w:t>Pre-requisite Unit</w:t>
      </w:r>
    </w:p>
    <w:tbl>
      <w:tblPr>
        <w:tblW w:w="0" w:type="auto"/>
        <w:tblLayout w:type="fixed"/>
        <w:tblCellMar>
          <w:left w:w="62" w:type="dxa"/>
          <w:right w:w="62" w:type="dxa"/>
        </w:tblCellMar>
        <w:tblLook w:val="0000"/>
      </w:tblPr>
      <w:tblGrid>
        <w:gridCol w:w="2186"/>
        <w:gridCol w:w="6886"/>
      </w:tblGrid>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MEM13015</w:t>
            </w:r>
          </w:p>
        </w:tc>
        <w:tc>
          <w:tcPr>
            <w:tcW w:w="68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Work safely and effectively in manufa</w:t>
            </w:r>
            <w:r w:rsidRPr="008B6BC0">
              <w:t>cturing and engineering</w:t>
            </w:r>
          </w:p>
        </w:tc>
      </w:tr>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MEM16006</w:t>
            </w:r>
          </w:p>
        </w:tc>
        <w:tc>
          <w:tcPr>
            <w:tcW w:w="68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Organise and communicate information</w:t>
            </w:r>
          </w:p>
        </w:tc>
      </w:tr>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MEM18001</w:t>
            </w:r>
          </w:p>
        </w:tc>
        <w:tc>
          <w:tcPr>
            <w:tcW w:w="68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Use hand tools</w:t>
            </w:r>
          </w:p>
        </w:tc>
      </w:tr>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MEM20001</w:t>
            </w:r>
          </w:p>
        </w:tc>
        <w:tc>
          <w:tcPr>
            <w:tcW w:w="68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Produce keys</w:t>
            </w:r>
          </w:p>
        </w:tc>
      </w:tr>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MEM20002</w:t>
            </w:r>
          </w:p>
        </w:tc>
        <w:tc>
          <w:tcPr>
            <w:tcW w:w="68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Assemble and test lock mechanisms</w:t>
            </w:r>
          </w:p>
        </w:tc>
      </w:tr>
      <w:tr w:rsidTr="008B6B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MEM20004</w:t>
            </w:r>
          </w:p>
        </w:tc>
        <w:tc>
          <w:tcPr>
            <w:tcW w:w="68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Gain entry</w:t>
            </w:r>
          </w:p>
        </w:tc>
      </w:tr>
    </w:tbl>
    <w:p w:rsidR="00000000" w:rsidRPr="008B6BC0" w:rsidP="008B6BC0">
      <w:pPr>
        <w:pStyle w:val="BodyText"/>
      </w:pPr>
    </w:p>
    <w:p w:rsidR="00000000" w:rsidRPr="008B6BC0" w:rsidP="008B6BC0">
      <w:pPr>
        <w:pStyle w:val="AllowPageBreak"/>
      </w:pPr>
    </w:p>
    <w:p w:rsidR="00000000" w:rsidRPr="008B6BC0" w:rsidP="008B6BC0">
      <w:pPr>
        <w:pStyle w:val="Heading1"/>
      </w:pPr>
      <w:bookmarkStart w:id="4" w:name="O_951033"/>
      <w:bookmarkEnd w:id="4"/>
      <w:r w:rsidRPr="008B6BC0">
        <w:t>Competency Field</w:t>
      </w:r>
    </w:p>
    <w:p w:rsidR="00000000" w:rsidRPr="008B6BC0" w:rsidP="00D96857">
      <w:pPr>
        <w:pStyle w:val="BodyText"/>
      </w:pPr>
      <w:r w:rsidRPr="008B6BC0">
        <w:t>Locksmithing</w:t>
      </w:r>
    </w:p>
    <w:p w:rsidR="00000000" w:rsidRPr="008B6BC0" w:rsidP="008B6BC0">
      <w:pPr>
        <w:pStyle w:val="Heading1"/>
      </w:pPr>
      <w:bookmarkStart w:id="5" w:name="O_951031"/>
      <w:bookmarkEnd w:id="5"/>
      <w:r w:rsidRPr="008B6BC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B6BC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Performance criteria describe the performance needed to demonstrate achievement of the element.</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1</w:t>
            </w:r>
          </w:p>
        </w:tc>
        <w:tc>
          <w:tcPr>
            <w:tcW w:w="1986" w:type="dxa"/>
            <w:vMerge w:val="restart"/>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1.1</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Follow standard operating procedures (SOPs)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1.2</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Comply with work health and safety (WHS) requirements at all times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1.3</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Select and use appropriate personal protective equipment (PPE) in accordance with SOPs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1.4</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Identify job requirements from specifications, job sheets or work instructions</w:t>
            </w:r>
          </w:p>
        </w:tc>
      </w:tr>
      <w:tr w:rsidTr="008B6B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B6BC0">
            <w:pPr>
              <w:pStyle w:val="BodyText"/>
              <w:rPr>
                <w:lang w:val="en-NZ"/>
              </w:rPr>
            </w:pP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2</w:t>
            </w:r>
          </w:p>
        </w:tc>
        <w:tc>
          <w:tcPr>
            <w:tcW w:w="1986" w:type="dxa"/>
            <w:vMerge w:val="restart"/>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Establish entry requirements to automotive locking system</w:t>
            </w: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2.1</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Establish the reason for entry</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2.2</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Verify authenticity of request in accordance with organisational and industry procedures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2.3</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Establish nature of problem and circumstances of prior operation in accordance with SOPs, inspection/diagnostic techniques and original specifications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2.4</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Identify vehicle, locking system and other relevant infor</w:t>
            </w:r>
            <w:r w:rsidRPr="008B6BC0">
              <w:t>mation from appropriate sources and in accordance with organisational and customer requirements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2.5</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Obtain and interpret specifications for components from appropriate sources of information</w:t>
            </w:r>
          </w:p>
        </w:tc>
      </w:tr>
      <w:tr w:rsidTr="008B6B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B6BC0">
            <w:pPr>
              <w:pStyle w:val="BodyText"/>
              <w:rPr>
                <w:lang w:val="en-NZ"/>
              </w:rPr>
            </w:pP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3</w:t>
            </w:r>
          </w:p>
        </w:tc>
        <w:tc>
          <w:tcPr>
            <w:tcW w:w="1986" w:type="dxa"/>
            <w:vMerge w:val="restart"/>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Gain entry to vehicle</w:t>
            </w: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3.1</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Select appropriate entry method in accordance with specific circumstances, customer requirements and SOPs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3.2</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Select tools, equipment, materials and consumables appropriate to entry requirements and check for serviceability in accordance with manufactur</w:t>
            </w:r>
            <w:r w:rsidRPr="008B6BC0">
              <w:t>ers</w:t>
            </w:r>
            <w:r>
              <w:t>’</w:t>
            </w:r>
            <w:r w:rsidRPr="008B6BC0">
              <w:t xml:space="preserve"> specifications and SOPs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3.3</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 xml:space="preserve">Use selected tools to gain entry using appropriate </w:t>
            </w:r>
            <w:r w:rsidRPr="008B6BC0">
              <w:t>industry practices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3.4</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Gain entry in accordance with applicable legislation, codes, regulations and standards</w:t>
            </w:r>
          </w:p>
        </w:tc>
      </w:tr>
      <w:tr w:rsidTr="008B6B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B6BC0">
            <w:pPr>
              <w:pStyle w:val="BodyText"/>
              <w:rPr>
                <w:lang w:val="en-NZ"/>
              </w:rPr>
            </w:pP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4</w:t>
            </w:r>
          </w:p>
        </w:tc>
        <w:tc>
          <w:tcPr>
            <w:tcW w:w="1986" w:type="dxa"/>
            <w:vMerge w:val="restart"/>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Re-instate automotive locking components and system</w:t>
            </w: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4.1</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Select replacement or repaired parts reassembly, where applicable</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4.2</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Dismantle/remove lock assemblies and components using appropriate organisational procedures, industry practices, tools and equipment</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4.3</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Inspect sub-assemblies, test and adjust as necessary for compliance to original factory assembly and functioning</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4.4</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Apply appropriate techniques in the preparation, assembly and adjustment of components parts using fastening equipment and methods that ensure conformance to specifications, operational performance, quality and safety of the completed assembly</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4.5</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Select correct lubrication, packing, sealing materials and apply correctly in conformance to job specifications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4.6</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Inspect locking system, test and adjust as necessary for compliance to original factory assembly and functioning</w:t>
            </w:r>
          </w:p>
        </w:tc>
      </w:tr>
      <w:tr w:rsidTr="008B6B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B6BC0">
            <w:pPr>
              <w:pStyle w:val="BodyText"/>
              <w:rPr>
                <w:lang w:val="en-NZ"/>
              </w:rPr>
            </w:pP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5</w:t>
            </w:r>
          </w:p>
        </w:tc>
        <w:tc>
          <w:tcPr>
            <w:tcW w:w="1986" w:type="dxa"/>
            <w:vMerge w:val="restart"/>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Finalise entry and reinstatement process</w:t>
            </w: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5.1</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Complete documentation and process in accordance with legislative and organisational requirements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5.2</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Clean work area, tools and equipment and store in accordance with SOPs</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5.3</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 xml:space="preserve">Clean vehicle and return to </w:t>
            </w:r>
            <w:r w:rsidRPr="008B6BC0">
              <w:t>serviceable condition</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5.4</w:t>
            </w:r>
          </w:p>
        </w:tc>
        <w:tc>
          <w:tcPr>
            <w:tcW w:w="5678"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Advise customer of work undertaken and further recommended actions and any other relevant information</w:t>
            </w:r>
          </w:p>
        </w:tc>
      </w:tr>
      <w:tr w:rsidTr="008B6B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5.5</w:t>
            </w:r>
          </w:p>
        </w:tc>
        <w:tc>
          <w:tcPr>
            <w:tcW w:w="5678" w:type="dxa"/>
            <w:tcBorders>
              <w:top w:val="nil"/>
              <w:left w:val="nil"/>
              <w:bottom w:val="nil"/>
              <w:right w:val="nil"/>
            </w:tcBorders>
            <w:tcMar>
              <w:top w:w="0" w:type="dxa"/>
              <w:left w:w="62" w:type="dxa"/>
              <w:bottom w:w="0" w:type="dxa"/>
              <w:right w:w="62" w:type="dxa"/>
            </w:tcMar>
          </w:tcPr>
          <w:p w:rsidR="00000000" w:rsidRPr="008B6BC0" w:rsidP="008B6BC0">
            <w:pPr>
              <w:pStyle w:val="BodyText"/>
            </w:pPr>
            <w:r w:rsidRPr="008B6BC0">
              <w:t>Instruct customer, as necessary, in accordance with organisational procedures and manufacturer recommendations</w:t>
            </w:r>
          </w:p>
        </w:tc>
      </w:tr>
    </w:tbl>
    <w:p w:rsidR="00000000" w:rsidRPr="008B6BC0" w:rsidP="008B6BC0">
      <w:pPr>
        <w:pStyle w:val="BodyText"/>
      </w:pPr>
    </w:p>
    <w:p w:rsidR="00000000" w:rsidRPr="008B6BC0" w:rsidP="008B6BC0">
      <w:pPr>
        <w:pStyle w:val="AllowPageBreak"/>
      </w:pPr>
    </w:p>
    <w:p w:rsidR="00000000" w:rsidRPr="008B6BC0" w:rsidP="008B6BC0">
      <w:pPr>
        <w:pStyle w:val="Heading1"/>
      </w:pPr>
      <w:bookmarkStart w:id="6" w:name="O_951030"/>
      <w:bookmarkEnd w:id="6"/>
      <w:r w:rsidRPr="008B6BC0">
        <w:t>Foundation Skills</w:t>
      </w:r>
    </w:p>
    <w:p w:rsidR="00000000" w:rsidRPr="008B6BC0" w:rsidP="00D96857">
      <w:pPr>
        <w:pStyle w:val="BodyText"/>
      </w:pPr>
      <w:r w:rsidRPr="008B6BC0">
        <w:t xml:space="preserve">This section describes those required skills (reading, writing, oral communication and numeracy) that are essential to workplace performance in this unit of competency.  </w:t>
      </w:r>
    </w:p>
    <w:p w:rsidR="00000000" w:rsidRPr="008B6BC0" w:rsidP="00D96857">
      <w:pPr>
        <w:pStyle w:val="BodyText"/>
      </w:pPr>
      <w:r w:rsidRPr="008B6BC0">
        <w:t>Foundation skills essential to performance are exp</w:t>
      </w:r>
      <w:r w:rsidRPr="008B6BC0">
        <w:t>licit in the performance criteria of this unit of competency.</w:t>
      </w:r>
    </w:p>
    <w:p w:rsidR="00000000" w:rsidRPr="008B6BC0" w:rsidP="008B6BC0">
      <w:pPr>
        <w:pStyle w:val="Heading1"/>
      </w:pPr>
      <w:bookmarkStart w:id="7" w:name="O_951029"/>
      <w:bookmarkEnd w:id="7"/>
      <w:r w:rsidRPr="008B6BC0">
        <w:t>Range of Conditions</w:t>
      </w:r>
    </w:p>
    <w:tbl>
      <w:tblPr>
        <w:tblW w:w="0" w:type="auto"/>
        <w:tblLayout w:type="fixed"/>
        <w:tblCellMar>
          <w:left w:w="62" w:type="dxa"/>
          <w:right w:w="62" w:type="dxa"/>
        </w:tblCellMar>
        <w:tblLook w:val="0000"/>
      </w:tblPr>
      <w:tblGrid>
        <w:gridCol w:w="2760"/>
        <w:gridCol w:w="6382"/>
      </w:tblGrid>
      <w:tr w:rsidTr="008B6BC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t>This field allows for different work environments and conditions that may affect performance. Essential operating conditions that may be present (depending o</w:t>
            </w:r>
            <w:r w:rsidRPr="008B6BC0">
              <w:t>n the work situation, needs of the candidate, accessibility of the item, and local industry and regional contexts) are included.</w:t>
            </w:r>
          </w:p>
        </w:tc>
      </w:tr>
      <w:tr w:rsidTr="008B6BC0">
        <w:tblPrEx>
          <w:tblW w:w="0" w:type="auto"/>
          <w:tblLayout w:type="fixed"/>
          <w:tblCellMar>
            <w:left w:w="62" w:type="dxa"/>
            <w:right w:w="62" w:type="dxa"/>
          </w:tblCellMar>
          <w:tblLook w:val="0000"/>
        </w:tblPrEx>
        <w:trPr>
          <w:trHeight w:val="4420"/>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PPE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 xml:space="preserve">face shields, goggles and safety glasses </w:t>
            </w:r>
          </w:p>
          <w:p w:rsidR="00000000" w:rsidRPr="008B6BC0" w:rsidP="008B6BC0">
            <w:pPr>
              <w:pStyle w:val="ListBullet"/>
            </w:pPr>
            <w:r w:rsidRPr="008B6BC0">
              <w:t>hearing protection</w:t>
            </w:r>
          </w:p>
          <w:p w:rsidR="00000000" w:rsidRPr="008B6BC0" w:rsidP="008B6BC0">
            <w:pPr>
              <w:pStyle w:val="ListBullet"/>
            </w:pPr>
            <w:r w:rsidRPr="008B6BC0">
              <w:t xml:space="preserve">dust masks and respirators </w:t>
            </w:r>
          </w:p>
          <w:p w:rsidR="00000000" w:rsidRPr="008B6BC0" w:rsidP="008B6BC0">
            <w:pPr>
              <w:pStyle w:val="ListBullet"/>
            </w:pPr>
            <w:r w:rsidRPr="008B6BC0">
              <w:t xml:space="preserve">high visibility vests or clothing </w:t>
            </w:r>
          </w:p>
          <w:p w:rsidR="00000000" w:rsidRPr="008B6BC0" w:rsidP="008B6BC0">
            <w:pPr>
              <w:pStyle w:val="ListBullet"/>
            </w:pPr>
            <w:r w:rsidRPr="008B6BC0">
              <w:t xml:space="preserve">head protection </w:t>
            </w:r>
          </w:p>
          <w:p w:rsidR="00000000" w:rsidRPr="008B6BC0" w:rsidP="008B6BC0">
            <w:pPr>
              <w:pStyle w:val="ListBullet"/>
            </w:pPr>
            <w:r w:rsidRPr="008B6BC0">
              <w:t xml:space="preserve">sun protection, hats and sun screen </w:t>
            </w:r>
          </w:p>
          <w:p w:rsidR="00000000" w:rsidRPr="008B6BC0" w:rsidP="008B6BC0">
            <w:pPr>
              <w:pStyle w:val="ListBullet"/>
            </w:pPr>
            <w:r w:rsidRPr="008B6BC0">
              <w:t xml:space="preserve">gloves and knee pads </w:t>
            </w:r>
          </w:p>
          <w:p w:rsidR="00000000" w:rsidRPr="008B6BC0" w:rsidP="008B6BC0">
            <w:pPr>
              <w:pStyle w:val="ListBullet"/>
            </w:pPr>
            <w:r w:rsidRPr="008B6BC0">
              <w:t xml:space="preserve">safety footwear </w:t>
            </w:r>
          </w:p>
          <w:p w:rsidR="00000000" w:rsidRPr="008B6BC0" w:rsidP="008B6BC0">
            <w:pPr>
              <w:pStyle w:val="ListBullet"/>
            </w:pPr>
            <w:r w:rsidRPr="008B6BC0">
              <w:t xml:space="preserve">witches hats </w:t>
            </w:r>
          </w:p>
          <w:p w:rsidR="00000000" w:rsidRPr="008B6BC0" w:rsidP="008B6BC0">
            <w:pPr>
              <w:pStyle w:val="ListBullet"/>
            </w:pPr>
            <w:r w:rsidRPr="008B6BC0">
              <w:t xml:space="preserve">warning signs and warning tapes </w:t>
            </w:r>
          </w:p>
          <w:p w:rsidR="00000000" w:rsidRPr="008B6BC0" w:rsidP="008B6BC0">
            <w:pPr>
              <w:pStyle w:val="ListBullet"/>
            </w:pPr>
            <w:r w:rsidRPr="008B6BC0">
              <w:t xml:space="preserve">temporary safety barriers </w:t>
            </w:r>
          </w:p>
          <w:p w:rsidR="00000000" w:rsidRPr="008B6BC0" w:rsidP="008B6BC0">
            <w:pPr>
              <w:pStyle w:val="ListBullet"/>
            </w:pPr>
            <w:r w:rsidRPr="008B6BC0">
              <w:t xml:space="preserve">fire extinguisher </w:t>
            </w:r>
          </w:p>
          <w:p w:rsidR="00000000" w:rsidP="008B6BC0">
            <w:pPr>
              <w:pStyle w:val="ListBullet"/>
              <w:rPr>
                <w:lang w:val="en-NZ"/>
              </w:rPr>
            </w:pPr>
            <w:r w:rsidRPr="008B6BC0">
              <w:t>first aid kit</w:t>
            </w:r>
          </w:p>
        </w:tc>
      </w:tr>
      <w:tr w:rsidTr="008B6BC0">
        <w:tblPrEx>
          <w:tblW w:w="0" w:type="auto"/>
          <w:tblLayout w:type="fixed"/>
          <w:tblCellMar>
            <w:left w:w="62" w:type="dxa"/>
            <w:right w:w="62" w:type="dxa"/>
          </w:tblCellMar>
          <w:tblLook w:val="0000"/>
        </w:tblPrEx>
        <w:trPr>
          <w:trHeight w:val="2473"/>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Appropriate sources of information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catalogues</w:t>
            </w:r>
          </w:p>
          <w:p w:rsidR="00000000" w:rsidRPr="008B6BC0" w:rsidP="008B6BC0">
            <w:pPr>
              <w:pStyle w:val="ListBullet"/>
            </w:pPr>
            <w:r w:rsidRPr="008B6BC0">
              <w:t>manufacturer manuals</w:t>
            </w:r>
          </w:p>
          <w:p w:rsidR="00000000" w:rsidRPr="008B6BC0" w:rsidP="008B6BC0">
            <w:pPr>
              <w:pStyle w:val="ListBullet"/>
            </w:pPr>
            <w:r w:rsidRPr="008B6BC0">
              <w:t>drawings</w:t>
            </w:r>
          </w:p>
          <w:p w:rsidR="00000000" w:rsidRPr="008B6BC0" w:rsidP="008B6BC0">
            <w:pPr>
              <w:pStyle w:val="ListBullet"/>
            </w:pPr>
            <w:r w:rsidRPr="008B6BC0">
              <w:t xml:space="preserve">detailed/technical sketches </w:t>
            </w:r>
          </w:p>
          <w:p w:rsidR="00000000" w:rsidRPr="008B6BC0" w:rsidP="008B6BC0">
            <w:pPr>
              <w:pStyle w:val="ListBullet"/>
            </w:pPr>
            <w:r w:rsidRPr="008B6BC0">
              <w:t xml:space="preserve">colleagues/industry experts </w:t>
            </w:r>
          </w:p>
          <w:p w:rsidR="00000000" w:rsidRPr="008B6BC0" w:rsidP="008B6BC0">
            <w:pPr>
              <w:pStyle w:val="ListBullet"/>
            </w:pPr>
            <w:r w:rsidRPr="008B6BC0">
              <w:t xml:space="preserve">computer software </w:t>
            </w:r>
          </w:p>
          <w:p w:rsidR="00000000" w:rsidP="008B6BC0">
            <w:pPr>
              <w:pStyle w:val="ListBullet"/>
              <w:rPr>
                <w:lang w:val="en-NZ"/>
              </w:rPr>
            </w:pPr>
            <w:r w:rsidRPr="008B6BC0">
              <w:t>associated data sheets</w:t>
            </w:r>
          </w:p>
        </w:tc>
      </w:tr>
      <w:tr w:rsidTr="008B6BC0">
        <w:tblPrEx>
          <w:tblW w:w="0" w:type="auto"/>
          <w:tblLayout w:type="fixed"/>
          <w:tblCellMar>
            <w:left w:w="62" w:type="dxa"/>
            <w:right w:w="62" w:type="dxa"/>
          </w:tblCellMar>
          <w:tblLook w:val="0000"/>
        </w:tblPrEx>
        <w:trPr>
          <w:trHeight w:val="1798"/>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Customer requirements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function and capabilities</w:t>
            </w:r>
          </w:p>
          <w:p w:rsidR="00000000" w:rsidRPr="008B6BC0" w:rsidP="008B6BC0">
            <w:pPr>
              <w:pStyle w:val="ListBullet"/>
            </w:pPr>
            <w:r w:rsidRPr="008B6BC0">
              <w:t>access issues</w:t>
            </w:r>
          </w:p>
          <w:p w:rsidR="00000000" w:rsidRPr="008B6BC0" w:rsidP="008B6BC0">
            <w:pPr>
              <w:pStyle w:val="ListBullet"/>
            </w:pPr>
            <w:r w:rsidRPr="008B6BC0">
              <w:t>service and maintenance requirements</w:t>
            </w:r>
          </w:p>
          <w:p w:rsidR="00000000" w:rsidRPr="008B6BC0" w:rsidP="008B6BC0">
            <w:pPr>
              <w:pStyle w:val="ListBullet"/>
            </w:pPr>
            <w:r w:rsidRPr="008B6BC0">
              <w:t>product operation and warranty information</w:t>
            </w:r>
          </w:p>
          <w:p w:rsidR="00000000" w:rsidP="008B6BC0">
            <w:pPr>
              <w:pStyle w:val="ListBullet"/>
              <w:rPr>
                <w:lang w:val="en-NZ"/>
              </w:rPr>
            </w:pPr>
            <w:r w:rsidRPr="008B6BC0">
              <w:t>costings</w:t>
            </w:r>
          </w:p>
        </w:tc>
      </w:tr>
      <w:tr w:rsidTr="008B6BC0">
        <w:tblPrEx>
          <w:tblW w:w="0" w:type="auto"/>
          <w:tblLayout w:type="fixed"/>
          <w:tblCellMar>
            <w:left w:w="62" w:type="dxa"/>
            <w:right w:w="62" w:type="dxa"/>
          </w:tblCellMar>
          <w:tblLook w:val="0000"/>
        </w:tblPrEx>
        <w:trPr>
          <w:trHeight w:val="1777"/>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Entry method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pick</w:t>
            </w:r>
          </w:p>
          <w:p w:rsidR="00000000" w:rsidRPr="008B6BC0" w:rsidP="008B6BC0">
            <w:pPr>
              <w:pStyle w:val="ListBullet"/>
            </w:pPr>
            <w:r w:rsidRPr="008B6BC0">
              <w:t>impressioning</w:t>
            </w:r>
          </w:p>
          <w:p w:rsidR="00000000" w:rsidRPr="008B6BC0" w:rsidP="008B6BC0">
            <w:pPr>
              <w:pStyle w:val="ListBullet"/>
            </w:pPr>
            <w:r w:rsidRPr="008B6BC0">
              <w:t>reading</w:t>
            </w:r>
          </w:p>
          <w:p w:rsidR="00000000" w:rsidRPr="008B6BC0" w:rsidP="008B6BC0">
            <w:pPr>
              <w:pStyle w:val="ListBullet"/>
            </w:pPr>
            <w:r w:rsidRPr="008B6BC0">
              <w:t>manipulating linkages</w:t>
            </w:r>
          </w:p>
          <w:p w:rsidR="00000000" w:rsidP="008B6BC0">
            <w:pPr>
              <w:pStyle w:val="ListBullet"/>
              <w:rPr>
                <w:lang w:val="en-NZ"/>
              </w:rPr>
            </w:pPr>
            <w:r w:rsidRPr="008B6BC0">
              <w:t>alternative methods</w:t>
            </w:r>
          </w:p>
        </w:tc>
      </w:tr>
      <w:tr w:rsidTr="008B6BC0">
        <w:tblPrEx>
          <w:tblW w:w="0" w:type="auto"/>
          <w:tblLayout w:type="fixed"/>
          <w:tblCellMar>
            <w:left w:w="62" w:type="dxa"/>
            <w:right w:w="62" w:type="dxa"/>
          </w:tblCellMar>
          <w:tblLook w:val="0000"/>
        </w:tblPrEx>
        <w:trPr>
          <w:trHeight w:val="2173"/>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 xml:space="preserve">Tools and equipment include one (1) or more of the following: </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hand and power tools specific to gaining entry</w:t>
            </w:r>
          </w:p>
          <w:p w:rsidR="00000000" w:rsidRPr="008B6BC0" w:rsidP="008B6BC0">
            <w:pPr>
              <w:pStyle w:val="ListBullet"/>
            </w:pPr>
            <w:r w:rsidRPr="008B6BC0">
              <w:t>power tools and accessories</w:t>
            </w:r>
          </w:p>
          <w:p w:rsidR="00000000" w:rsidRPr="008B6BC0" w:rsidP="008B6BC0">
            <w:pPr>
              <w:pStyle w:val="ListBullet"/>
            </w:pPr>
            <w:r w:rsidRPr="008B6BC0">
              <w:t>diagnostic specialist equipment</w:t>
            </w:r>
          </w:p>
          <w:p w:rsidR="00000000" w:rsidRPr="008B6BC0" w:rsidP="008B6BC0">
            <w:pPr>
              <w:pStyle w:val="ListBullet"/>
            </w:pPr>
            <w:r w:rsidRPr="008B6BC0">
              <w:t>fixing tools</w:t>
            </w:r>
          </w:p>
          <w:p w:rsidR="00000000" w:rsidRPr="008B6BC0" w:rsidP="008B6BC0">
            <w:pPr>
              <w:pStyle w:val="ListBullet"/>
            </w:pPr>
            <w:r w:rsidRPr="008B6BC0">
              <w:t>specia</w:t>
            </w:r>
            <w:r w:rsidRPr="008B6BC0">
              <w:t>l-purpose equipment</w:t>
            </w:r>
          </w:p>
          <w:p w:rsidR="00000000" w:rsidP="008B6BC0">
            <w:pPr>
              <w:pStyle w:val="ListBullet"/>
              <w:rPr>
                <w:lang w:val="en-NZ"/>
              </w:rPr>
            </w:pPr>
            <w:r w:rsidRPr="008B6BC0">
              <w:t>vacuum cleaner</w:t>
            </w:r>
          </w:p>
        </w:tc>
      </w:tr>
      <w:tr w:rsidTr="008B6BC0">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Materials and consumables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lubricants</w:t>
            </w:r>
          </w:p>
          <w:p w:rsidR="00000000" w:rsidRPr="008B6BC0" w:rsidP="008B6BC0">
            <w:pPr>
              <w:pStyle w:val="ListBullet"/>
            </w:pPr>
            <w:r w:rsidRPr="008B6BC0">
              <w:t>adhesives and sealants</w:t>
            </w:r>
          </w:p>
          <w:p w:rsidR="00000000" w:rsidRPr="008B6BC0" w:rsidP="008B6BC0">
            <w:pPr>
              <w:pStyle w:val="ListBullet"/>
            </w:pPr>
            <w:r w:rsidRPr="008B6BC0">
              <w:t>cleaning materials</w:t>
            </w:r>
          </w:p>
          <w:p w:rsidR="00000000" w:rsidP="008B6BC0">
            <w:pPr>
              <w:pStyle w:val="ListBullet"/>
              <w:rPr>
                <w:lang w:val="en-NZ"/>
              </w:rPr>
            </w:pPr>
            <w:r w:rsidRPr="008B6BC0">
              <w:t>wire and cable</w:t>
            </w:r>
          </w:p>
        </w:tc>
      </w:tr>
      <w:tr w:rsidTr="008B6BC0">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8B6BC0">
            <w:pPr>
              <w:pStyle w:val="BodyText"/>
              <w:rPr>
                <w:lang w:val="en-NZ"/>
              </w:rPr>
            </w:pPr>
            <w:r w:rsidRPr="008B6BC0">
              <w:rPr>
                <w:rStyle w:val="SpecialBold"/>
              </w:rPr>
              <w:t>Documentation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B6BC0" w:rsidP="008B6BC0">
            <w:pPr>
              <w:pStyle w:val="ListBullet"/>
            </w:pPr>
            <w:r w:rsidRPr="008B6BC0">
              <w:t>historical records</w:t>
            </w:r>
          </w:p>
          <w:p w:rsidR="00000000" w:rsidRPr="008B6BC0" w:rsidP="008B6BC0">
            <w:pPr>
              <w:pStyle w:val="ListBullet"/>
            </w:pPr>
            <w:r w:rsidRPr="008B6BC0">
              <w:t>procedures and measurements for opening specific vehicles</w:t>
            </w:r>
          </w:p>
          <w:p w:rsidR="00000000" w:rsidRPr="008B6BC0" w:rsidP="008B6BC0">
            <w:pPr>
              <w:pStyle w:val="ListBullet"/>
            </w:pPr>
            <w:r w:rsidRPr="008B6BC0">
              <w:t>job sheets</w:t>
            </w:r>
          </w:p>
          <w:p w:rsidR="00000000" w:rsidRPr="008B6BC0" w:rsidP="008B6BC0">
            <w:pPr>
              <w:pStyle w:val="ListBullet"/>
            </w:pPr>
            <w:r w:rsidRPr="008B6BC0">
              <w:t>invoices</w:t>
            </w:r>
          </w:p>
          <w:p w:rsidR="00000000" w:rsidRPr="008B6BC0" w:rsidP="008B6BC0">
            <w:pPr>
              <w:pStyle w:val="ListBullet"/>
            </w:pPr>
            <w:r w:rsidRPr="008B6BC0">
              <w:t>warranties</w:t>
            </w:r>
          </w:p>
        </w:tc>
      </w:tr>
    </w:tbl>
    <w:p w:rsidR="00000000" w:rsidRPr="008B6BC0" w:rsidP="008B6BC0">
      <w:pPr>
        <w:pStyle w:val="BodyText"/>
      </w:pPr>
    </w:p>
    <w:p w:rsidR="00000000" w:rsidRPr="008B6BC0" w:rsidP="008B6BC0">
      <w:pPr>
        <w:pStyle w:val="AllowPageBreak"/>
      </w:pPr>
    </w:p>
    <w:p w:rsidR="00000000" w:rsidRPr="008B6BC0" w:rsidP="008B6BC0">
      <w:pPr>
        <w:pStyle w:val="Heading1"/>
      </w:pPr>
      <w:bookmarkStart w:id="8" w:name="O_951028"/>
      <w:bookmarkEnd w:id="8"/>
      <w:r w:rsidRPr="008B6BC0">
        <w:t>Unit Mapping Information</w:t>
      </w:r>
    </w:p>
    <w:p w:rsidR="00000000" w:rsidRPr="008B6BC0" w:rsidP="00D96857">
      <w:pPr>
        <w:pStyle w:val="BodyText"/>
      </w:pPr>
      <w:r w:rsidRPr="008B6BC0">
        <w:t xml:space="preserve">Release 1. Supersedes and is equivalent to MEM20010A Gain entry and reinstate automotive locking systems </w:t>
      </w:r>
    </w:p>
    <w:p w:rsidR="00000000" w:rsidRPr="008B6BC0" w:rsidP="008B6BC0">
      <w:pPr>
        <w:pStyle w:val="Heading1"/>
      </w:pPr>
      <w:bookmarkStart w:id="9" w:name="O_951021"/>
      <w:bookmarkEnd w:id="9"/>
      <w:r w:rsidRPr="008B6BC0">
        <w:t>Links</w:t>
      </w:r>
    </w:p>
    <w:p w:rsidR="00000000" w:rsidRPr="008B6BC0" w:rsidP="00D96857">
      <w:pPr>
        <w:pStyle w:val="BodyText"/>
      </w:pPr>
      <w:r w:rsidRPr="008B6BC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32BAA">
        <w:rPr>
          <w:rStyle w:val="Hyperlink"/>
        </w:rPr>
        <w:t>https://vetnet.gov.au/Pages/TrainingDocs.aspx?q=b7050d37-5fd0-4740-8f7d-3b7a49c10bb2</w:t>
      </w:r>
      <w:r>
        <w:fldChar w:fldCharType="end"/>
      </w:r>
    </w:p>
    <w:p w:rsidR="00000000" w:rsidRPr="008B6BC0" w:rsidP="00D96857">
      <w:pPr>
        <w:pStyle w:val="BodyText"/>
        <w:sectPr w:rsidSect="008B6BC0">
          <w:headerReference w:type="default" r:id="rId10"/>
          <w:footerReference w:type="default" r:id="rId11"/>
          <w:pgSz w:w="11908" w:h="16833"/>
          <w:pgMar w:top="1702" w:right="1418" w:bottom="1702" w:left="1418" w:header="992" w:footer="992" w:gutter="0"/>
          <w:cols w:space="720"/>
          <w:noEndnote/>
          <w:docGrid w:linePitch="299"/>
        </w:sectPr>
      </w:pPr>
    </w:p>
    <w:p w:rsidR="00000000" w:rsidRPr="008B6BC0" w:rsidP="008B6BC0">
      <w:pPr>
        <w:pStyle w:val="SuperHeading"/>
      </w:pPr>
      <w:r w:rsidRPr="008B6BC0">
        <w:t xml:space="preserve">Assessment </w:t>
      </w:r>
      <w:r w:rsidRPr="008B6BC0">
        <w:t>Requirements for MEM20010 Gain entry and reinstate automotive locking systems</w:t>
      </w:r>
    </w:p>
    <w:p w:rsidR="00000000" w:rsidRPr="008B6BC0" w:rsidP="008B6BC0">
      <w:pPr>
        <w:pStyle w:val="Heading1"/>
      </w:pPr>
      <w:bookmarkStart w:id="10" w:name="O_951023"/>
      <w:bookmarkEnd w:id="10"/>
      <w:r w:rsidRPr="008B6BC0">
        <w:t>Modification History</w:t>
      </w:r>
    </w:p>
    <w:p w:rsidR="00000000" w:rsidRPr="008B6BC0" w:rsidP="00D96857">
      <w:pPr>
        <w:pStyle w:val="BodyText"/>
      </w:pPr>
      <w:r w:rsidRPr="008B6BC0">
        <w:t xml:space="preserve">Release 1. Supersedes and is equivalent to MEM20010A Gain entry and reinstate automotive locking systems </w:t>
      </w:r>
    </w:p>
    <w:p w:rsidR="00000000" w:rsidRPr="008B6BC0" w:rsidP="008B6BC0">
      <w:pPr>
        <w:pStyle w:val="Heading1"/>
      </w:pPr>
      <w:bookmarkStart w:id="11" w:name="O_951026"/>
      <w:bookmarkEnd w:id="11"/>
      <w:r w:rsidRPr="008B6BC0">
        <w:t>Performance Eviden</w:t>
      </w:r>
      <w:r w:rsidRPr="008B6BC0">
        <w:t>ce</w:t>
      </w:r>
    </w:p>
    <w:p w:rsidR="00000000" w:rsidRPr="008B6BC0" w:rsidP="00D96857">
      <w:pPr>
        <w:pStyle w:val="BodyText"/>
      </w:pPr>
      <w:r w:rsidRPr="008B6BC0">
        <w:t>Evidence required to demonstrate competence in this unit must be relevant to and satisfy the requirements of the elements and performance criteria on at least two (2) occasions and include:</w:t>
      </w:r>
    </w:p>
    <w:p w:rsidR="00000000" w:rsidRPr="008B6BC0" w:rsidP="008B6BC0">
      <w:pPr>
        <w:pStyle w:val="ListBullet"/>
      </w:pPr>
      <w:r w:rsidRPr="008B6BC0">
        <w:t>following work instructions, standard operating procedures (SO</w:t>
      </w:r>
      <w:r w:rsidRPr="008B6BC0">
        <w:t>Ps) and safe work practices</w:t>
      </w:r>
    </w:p>
    <w:p w:rsidR="00000000" w:rsidRPr="008B6BC0" w:rsidP="008B6BC0">
      <w:pPr>
        <w:pStyle w:val="ListBullet"/>
      </w:pPr>
      <w:r w:rsidRPr="008B6BC0">
        <w:t xml:space="preserve">verifying authenticity of request in accordance with organisational and industry procedures </w:t>
      </w:r>
    </w:p>
    <w:p w:rsidR="00000000" w:rsidRPr="008B6BC0" w:rsidP="008B6BC0">
      <w:pPr>
        <w:pStyle w:val="ListBullet"/>
      </w:pPr>
      <w:r w:rsidRPr="008B6BC0">
        <w:t>communication with the customer as required throughout the entry and reinstatement process</w:t>
      </w:r>
    </w:p>
    <w:p w:rsidR="00000000" w:rsidRPr="008B6BC0" w:rsidP="008B6BC0">
      <w:pPr>
        <w:pStyle w:val="ListBullet"/>
      </w:pPr>
      <w:r w:rsidRPr="008B6BC0">
        <w:t>legislation, codes, regulations and standard</w:t>
      </w:r>
      <w:r w:rsidRPr="008B6BC0">
        <w:t>s applicable to gaining entry to vehicles</w:t>
      </w:r>
    </w:p>
    <w:p w:rsidR="00000000" w:rsidRPr="008B6BC0" w:rsidP="008B6BC0">
      <w:pPr>
        <w:pStyle w:val="ListBullet"/>
      </w:pPr>
      <w:r w:rsidRPr="008B6BC0">
        <w:t>interpreting information specific for gaining entry</w:t>
      </w:r>
    </w:p>
    <w:p w:rsidR="00000000" w:rsidRPr="008B6BC0" w:rsidP="008B6BC0">
      <w:pPr>
        <w:pStyle w:val="ListBullet"/>
      </w:pPr>
      <w:r w:rsidRPr="008B6BC0">
        <w:t xml:space="preserve">questioning, confirming and clarifying customer requirements </w:t>
      </w:r>
    </w:p>
    <w:p w:rsidR="00000000" w:rsidRPr="008B6BC0" w:rsidP="008B6BC0">
      <w:pPr>
        <w:pStyle w:val="ListBullet"/>
      </w:pPr>
      <w:r w:rsidRPr="008B6BC0">
        <w:t>identifying automotive locking components and checking function of locking systems</w:t>
      </w:r>
    </w:p>
    <w:p w:rsidR="00000000" w:rsidRPr="008B6BC0" w:rsidP="008B6BC0">
      <w:pPr>
        <w:pStyle w:val="ListBullet"/>
      </w:pPr>
      <w:r w:rsidRPr="008B6BC0">
        <w:t>tracing faults an</w:t>
      </w:r>
      <w:r w:rsidRPr="008B6BC0">
        <w:t xml:space="preserve">d selecting the appropriate entry method </w:t>
      </w:r>
    </w:p>
    <w:p w:rsidR="00000000" w:rsidRPr="008B6BC0" w:rsidP="008B6BC0">
      <w:pPr>
        <w:pStyle w:val="ListBullet"/>
      </w:pPr>
      <w:r w:rsidRPr="008B6BC0">
        <w:t xml:space="preserve">gaining entry using appropriate tools and equipment </w:t>
      </w:r>
    </w:p>
    <w:p w:rsidR="00000000" w:rsidRPr="008B6BC0" w:rsidP="008B6BC0">
      <w:pPr>
        <w:pStyle w:val="ListBullet"/>
      </w:pPr>
      <w:r w:rsidRPr="008B6BC0">
        <w:t>identifying actual and potential risks and hazards and implementing control measures</w:t>
      </w:r>
    </w:p>
    <w:p w:rsidR="00000000" w:rsidRPr="008B6BC0" w:rsidP="008B6BC0">
      <w:pPr>
        <w:pStyle w:val="ListBullet"/>
      </w:pPr>
      <w:r w:rsidRPr="008B6BC0">
        <w:t>disassembling/reassembling lock assemblies and components and selecting mate</w:t>
      </w:r>
      <w:r w:rsidRPr="008B6BC0">
        <w:t xml:space="preserve">rials and consumables </w:t>
      </w:r>
    </w:p>
    <w:p w:rsidR="00000000" w:rsidRPr="008B6BC0" w:rsidP="008B6BC0">
      <w:pPr>
        <w:pStyle w:val="ListBullet"/>
      </w:pPr>
      <w:r w:rsidRPr="008B6BC0">
        <w:t>applying appropriate techniques to reinstate locking components and system</w:t>
      </w:r>
    </w:p>
    <w:p w:rsidR="00000000" w:rsidRPr="008B6BC0" w:rsidP="008B6BC0">
      <w:pPr>
        <w:pStyle w:val="ListBullet"/>
      </w:pPr>
      <w:r w:rsidRPr="008B6BC0">
        <w:t>testing and adjusting locking system to confirm operation</w:t>
      </w:r>
    </w:p>
    <w:p w:rsidR="00000000" w:rsidRPr="008B6BC0" w:rsidP="008B6BC0">
      <w:pPr>
        <w:pStyle w:val="ListBullet"/>
      </w:pPr>
      <w:r w:rsidRPr="008B6BC0">
        <w:t xml:space="preserve">cleaning vehicle in accordance with original presentation, client requirements, industry standards and SOPs </w:t>
      </w:r>
    </w:p>
    <w:p w:rsidR="00000000" w:rsidRPr="008B6BC0" w:rsidP="008B6BC0">
      <w:pPr>
        <w:pStyle w:val="ListBullet"/>
      </w:pPr>
      <w:r w:rsidRPr="008B6BC0">
        <w:t>completing all documentation in accordance with SOPs.</w:t>
      </w:r>
    </w:p>
    <w:p w:rsidR="00000000" w:rsidRPr="008B6BC0" w:rsidP="008B6BC0">
      <w:pPr>
        <w:pStyle w:val="AllowPageBreak"/>
      </w:pPr>
    </w:p>
    <w:p w:rsidR="00000000" w:rsidRPr="008B6BC0" w:rsidP="008B6BC0">
      <w:pPr>
        <w:pStyle w:val="Heading1"/>
      </w:pPr>
      <w:bookmarkStart w:id="12" w:name="O_951025"/>
      <w:bookmarkEnd w:id="12"/>
      <w:r w:rsidRPr="008B6BC0">
        <w:t>Knowledge Evidence</w:t>
      </w:r>
    </w:p>
    <w:p w:rsidR="00000000" w:rsidRPr="008B6BC0" w:rsidP="00D96857">
      <w:pPr>
        <w:pStyle w:val="BodyText"/>
      </w:pPr>
      <w:r w:rsidRPr="008B6BC0">
        <w:t>Evidence required to demonstrate the required knowledge f</w:t>
      </w:r>
      <w:r w:rsidRPr="008B6BC0">
        <w:t>or this unit must be relevant to and satisfy the requirements of the elements and performance criteria and include knowledge of:</w:t>
      </w:r>
    </w:p>
    <w:p w:rsidR="00000000" w:rsidRPr="008B6BC0" w:rsidP="008B6BC0">
      <w:pPr>
        <w:pStyle w:val="ListBullet"/>
      </w:pPr>
      <w:r w:rsidRPr="008B6BC0">
        <w:t>safe work practices and procedures and use of personal protective equipment (PPE)</w:t>
      </w:r>
    </w:p>
    <w:p w:rsidR="00000000" w:rsidRPr="008B6BC0" w:rsidP="008B6BC0">
      <w:pPr>
        <w:pStyle w:val="ListBullet"/>
      </w:pPr>
      <w:r w:rsidRPr="008B6BC0">
        <w:t>legislation, codes, regulations and standard</w:t>
      </w:r>
      <w:r w:rsidRPr="008B6BC0">
        <w:t xml:space="preserve">s applicable to gaining entry and reinstatement of automotive locking systems </w:t>
      </w:r>
    </w:p>
    <w:p w:rsidR="00000000" w:rsidRPr="008B6BC0" w:rsidP="008B6BC0">
      <w:pPr>
        <w:pStyle w:val="ListBullet"/>
      </w:pPr>
      <w:r w:rsidRPr="008B6BC0">
        <w:t>types of vehicle locking systems - mechanical and electronic</w:t>
      </w:r>
    </w:p>
    <w:p w:rsidR="00000000" w:rsidRPr="008B6BC0" w:rsidP="008B6BC0">
      <w:pPr>
        <w:pStyle w:val="ListBullet"/>
      </w:pPr>
      <w:r w:rsidRPr="008B6BC0">
        <w:t>attachment methods for window winders, internal handles, snibs, trims, cylinders, locks and external handles</w:t>
      </w:r>
    </w:p>
    <w:p w:rsidR="00000000" w:rsidRPr="008B6BC0" w:rsidP="008B6BC0">
      <w:pPr>
        <w:pStyle w:val="ListBullet"/>
      </w:pPr>
      <w:r w:rsidRPr="008B6BC0">
        <w:t>release</w:t>
      </w:r>
      <w:r w:rsidRPr="008B6BC0">
        <w:t xml:space="preserve"> positions of ignition lock, air bag, front and side and appropriate safety procedures</w:t>
      </w:r>
    </w:p>
    <w:p w:rsidR="00000000" w:rsidRPr="008B6BC0" w:rsidP="008B6BC0">
      <w:pPr>
        <w:pStyle w:val="ListBullet"/>
      </w:pPr>
      <w:r w:rsidRPr="008B6BC0">
        <w:t>break-off bolts, removal and replacement</w:t>
      </w:r>
    </w:p>
    <w:p w:rsidR="00000000" w:rsidRPr="008B6BC0" w:rsidP="008B6BC0">
      <w:pPr>
        <w:pStyle w:val="ListBullet"/>
      </w:pPr>
      <w:r w:rsidRPr="008B6BC0">
        <w:t>window winders and door trims</w:t>
      </w:r>
    </w:p>
    <w:p w:rsidR="00000000" w:rsidRPr="008B6BC0" w:rsidP="008B6BC0">
      <w:pPr>
        <w:pStyle w:val="ListBullet"/>
      </w:pPr>
      <w:r w:rsidRPr="008B6BC0">
        <w:t>door lock retainers</w:t>
      </w:r>
    </w:p>
    <w:p w:rsidR="00000000" w:rsidRPr="008B6BC0" w:rsidP="008B6BC0">
      <w:pPr>
        <w:pStyle w:val="ListBullet"/>
      </w:pPr>
      <w:r w:rsidRPr="008B6BC0">
        <w:t>central locking</w:t>
      </w:r>
    </w:p>
    <w:p w:rsidR="00000000" w:rsidRPr="008B6BC0" w:rsidP="008B6BC0">
      <w:pPr>
        <w:pStyle w:val="ListBullet"/>
      </w:pPr>
      <w:r w:rsidRPr="008B6BC0">
        <w:t>linkages, cables and springs</w:t>
      </w:r>
    </w:p>
    <w:p w:rsidR="00000000" w:rsidRPr="008B6BC0" w:rsidP="008B6BC0">
      <w:pPr>
        <w:pStyle w:val="ListBullet"/>
      </w:pPr>
      <w:r w:rsidRPr="008B6BC0">
        <w:t>techniques for disassembling, rea</w:t>
      </w:r>
      <w:r w:rsidRPr="008B6BC0">
        <w:t>ssembling and reinstating locking systems to return to operation</w:t>
      </w:r>
    </w:p>
    <w:p w:rsidR="00000000" w:rsidRPr="008B6BC0" w:rsidP="008B6BC0">
      <w:pPr>
        <w:pStyle w:val="ListBullet"/>
      </w:pPr>
      <w:r w:rsidRPr="008B6BC0">
        <w:t xml:space="preserve">techniques for disassembling, reassembling and reinstating locking window winders and door trims including associated wiring </w:t>
      </w:r>
    </w:p>
    <w:p w:rsidR="00000000" w:rsidRPr="008B6BC0" w:rsidP="008B6BC0">
      <w:pPr>
        <w:pStyle w:val="ListBullet"/>
      </w:pPr>
      <w:r w:rsidRPr="008B6BC0">
        <w:t>automotive security electronics, alarms and ignition immobilisers</w:t>
      </w:r>
      <w:r w:rsidRPr="008B6BC0">
        <w:t xml:space="preserve"> </w:t>
      </w:r>
    </w:p>
    <w:p w:rsidR="00000000" w:rsidRPr="008B6BC0" w:rsidP="008B6BC0">
      <w:pPr>
        <w:pStyle w:val="ListBullet"/>
      </w:pPr>
      <w:r w:rsidRPr="008B6BC0">
        <w:t>hazards and control measures associated with gaining entry to automotive locking systems.</w:t>
      </w:r>
    </w:p>
    <w:p w:rsidR="00000000" w:rsidRPr="008B6BC0" w:rsidP="008B6BC0">
      <w:pPr>
        <w:pStyle w:val="AllowPageBreak"/>
      </w:pPr>
    </w:p>
    <w:p w:rsidR="00000000" w:rsidRPr="008B6BC0" w:rsidP="008B6BC0">
      <w:pPr>
        <w:pStyle w:val="Heading1"/>
      </w:pPr>
      <w:bookmarkStart w:id="13" w:name="O_951024"/>
      <w:bookmarkEnd w:id="13"/>
      <w:r w:rsidRPr="008B6BC0">
        <w:t>Assessment Conditions</w:t>
      </w:r>
    </w:p>
    <w:p w:rsidR="00000000" w:rsidRPr="008B6BC0" w:rsidP="008B6BC0">
      <w:pPr>
        <w:pStyle w:val="ListBullet"/>
      </w:pPr>
      <w:r w:rsidRPr="008B6BC0">
        <w:t>Assessors must:</w:t>
      </w:r>
    </w:p>
    <w:p w:rsidR="00000000" w:rsidRPr="008B6BC0" w:rsidP="008B6BC0">
      <w:pPr>
        <w:pStyle w:val="ListBullet2"/>
      </w:pPr>
      <w:r w:rsidRPr="008B6BC0">
        <w:t xml:space="preserve">have vocational competency in gaining entry and reinstating automotive locking systems at least </w:t>
      </w:r>
      <w:r w:rsidRPr="008B6BC0">
        <w:t>to the level being assessed with relevant industry knowledge and experience</w:t>
      </w:r>
    </w:p>
    <w:p w:rsidR="00000000" w:rsidRPr="008B6BC0" w:rsidP="008B6BC0">
      <w:pPr>
        <w:pStyle w:val="ListBullet2"/>
      </w:pPr>
      <w:r w:rsidRPr="008B6BC0">
        <w:t xml:space="preserve">satisfy the assessor requirements in the </w:t>
      </w:r>
      <w:r w:rsidRPr="008B6BC0">
        <w:rPr>
          <w:rStyle w:val="Emphasis"/>
        </w:rPr>
        <w:t xml:space="preserve">Standards for Registered Training Organisations 2015 </w:t>
      </w:r>
      <w:r w:rsidRPr="008B6BC0">
        <w:t>or its replacement</w:t>
      </w:r>
      <w:r w:rsidRPr="008B6BC0">
        <w:rPr>
          <w:rStyle w:val="Emphasis"/>
        </w:rPr>
        <w:t xml:space="preserve"> </w:t>
      </w:r>
      <w:r w:rsidRPr="008B6BC0">
        <w:t xml:space="preserve">and comply with the </w:t>
      </w:r>
      <w:r w:rsidRPr="008B6BC0">
        <w:rPr>
          <w:rStyle w:val="Emphasis"/>
        </w:rPr>
        <w:t>National Vocational Education and Training Regu</w:t>
      </w:r>
      <w:r w:rsidRPr="008B6BC0">
        <w:rPr>
          <w:rStyle w:val="Emphasis"/>
        </w:rPr>
        <w:t xml:space="preserve">lator Act 2011, </w:t>
      </w:r>
      <w:r w:rsidRPr="008B6BC0">
        <w:t>its replacement</w:t>
      </w:r>
      <w:r w:rsidRPr="008B6BC0">
        <w:rPr>
          <w:rStyle w:val="Emphasis"/>
        </w:rPr>
        <w:t xml:space="preserve"> </w:t>
      </w:r>
      <w:r w:rsidRPr="008B6BC0">
        <w:t>or equivalent legislation covering VET regulation in a non-referring state/territory as the case requires</w:t>
      </w:r>
    </w:p>
    <w:p w:rsidR="00000000" w:rsidRPr="008B6BC0" w:rsidP="008B6BC0">
      <w:pPr>
        <w:pStyle w:val="ListBullet"/>
      </w:pPr>
      <w:r w:rsidRPr="008B6BC0">
        <w:t>Where possible assessment must occur in operational workplace situations. Where this is not possible or where persona</w:t>
      </w:r>
      <w:r w:rsidRPr="008B6BC0">
        <w:t>l safety or environmental damage are limiting factors, assessment must occur in a sufficiently rigorous simulated environment that reflects realistic operational workplace conditions. This must cover all aspects of workplace performance, including environm</w:t>
      </w:r>
      <w:r w:rsidRPr="008B6BC0">
        <w:t xml:space="preserve">ent, task skills, task management skills, contingency management skills and job role environment skills </w:t>
      </w:r>
    </w:p>
    <w:p w:rsidR="00000000" w:rsidRPr="008B6BC0" w:rsidP="008B6BC0">
      <w:pPr>
        <w:pStyle w:val="ListBullet"/>
      </w:pPr>
      <w:r w:rsidRPr="008B6BC0">
        <w:t>Conditions for assessment must include access to all tools, equipment, materials and documentation required, including relevant workplace procedures, p</w:t>
      </w:r>
      <w:r w:rsidRPr="008B6BC0">
        <w:t>roduct and manufacturing specifications</w:t>
      </w:r>
    </w:p>
    <w:p w:rsidR="00000000" w:rsidRPr="008B6BC0" w:rsidP="008B6BC0">
      <w:pPr>
        <w:pStyle w:val="ListBullet"/>
      </w:pPr>
      <w:r w:rsidRPr="008B6BC0">
        <w:t>Assessment processes and techniques must be appropriate to the language, literacy and numeracy requirements of the work being performed and the needs of the candidate.</w:t>
      </w:r>
    </w:p>
    <w:p w:rsidR="00000000" w:rsidRPr="008B6BC0" w:rsidP="008B6BC0">
      <w:pPr>
        <w:pStyle w:val="AllowPageBreak"/>
      </w:pPr>
    </w:p>
    <w:p w:rsidR="00000000" w:rsidRPr="008B6BC0" w:rsidP="008B6BC0">
      <w:pPr>
        <w:pStyle w:val="Heading1"/>
      </w:pPr>
      <w:bookmarkStart w:id="14" w:name="O_951022"/>
      <w:bookmarkEnd w:id="14"/>
      <w:r w:rsidRPr="008B6BC0">
        <w:t>Links</w:t>
      </w:r>
    </w:p>
    <w:p w:rsidR="00000000" w:rsidRPr="008B6BC0" w:rsidP="00D96857">
      <w:pPr>
        <w:pStyle w:val="BodyText"/>
      </w:pPr>
      <w:r w:rsidRPr="008B6BC0">
        <w:t>Companion Volume implemen</w:t>
      </w:r>
      <w:r w:rsidRPr="008B6BC0">
        <w:t xml:space="preserve">tation guides are found in VETNet - </w:t>
      </w:r>
      <w:r>
        <w:fldChar w:fldCharType="begin"/>
      </w:r>
      <w:r>
        <w:instrText xml:space="preserve"> HYPERLINK "https://vetnet.gov.au/Pages/TrainingDocs.aspx?q=b7050d37-5fd0-4740-8f7d-3b7a49c10bb2" </w:instrText>
      </w:r>
      <w:r>
        <w:fldChar w:fldCharType="separate"/>
      </w:r>
      <w:r w:rsidRPr="00932BAA">
        <w:rPr>
          <w:rStyle w:val="Hyperlink"/>
        </w:rPr>
        <w:t>https://vetnet.gov.au/Pages/TrainingDocs.aspx?q=b7050d37-5fd0-4740-8f7d-3b7a49c10bb2</w:t>
      </w:r>
      <w:r>
        <w:fldChar w:fldCharType="end"/>
      </w:r>
    </w:p>
    <w:p w:rsidR="00000000" w:rsidRPr="008B6BC0" w:rsidP="008B6BC0"/>
    <w:sectPr w:rsidSect="008B6B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rsidRPr="00D96857" w:rsidP="00D96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57" w:rsidP="008B6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6857" w:rsidP="008B6B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6857" w:rsidP="008B6B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rsidP="008B6BC0">
    <w:pPr>
      <w:pStyle w:val="Footer"/>
      <w:framePr w:wrap="around"/>
    </w:pPr>
    <w:r>
      <w:fldChar w:fldCharType="begin"/>
    </w:r>
    <w:r>
      <w:instrText xml:space="preserve"> DOCPROPERTY  Subject  \* MERGEFORMAT </w:instrText>
    </w:r>
    <w:r>
      <w:fldChar w:fldCharType="separate"/>
    </w:r>
    <w:r w:rsidR="00D96857">
      <w:t>Approved</w:t>
    </w:r>
    <w:r w:rsidR="00D96857">
      <w:fldChar w:fldCharType="end"/>
    </w:r>
    <w:r>
      <w:tab/>
      <w:t xml:space="preserve">Page </w:t>
    </w:r>
    <w:r>
      <w:fldChar w:fldCharType="begin"/>
    </w:r>
    <w:r>
      <w:instrText xml:space="preserve"> PAGE  \* Arabic  \* MERGEFORMAT </w:instrText>
    </w:r>
    <w:r>
      <w:fldChar w:fldCharType="separate"/>
    </w:r>
    <w:r w:rsidR="00D968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6857">
      <w:rPr>
        <w:noProof/>
      </w:rPr>
      <w:t>6</w:t>
    </w:r>
    <w:r>
      <w:rPr>
        <w:noProof/>
      </w:rPr>
      <w:fldChar w:fldCharType="end"/>
    </w:r>
  </w:p>
  <w:p w:rsidR="008B6BC0" w:rsidP="008B6BC0">
    <w:pPr>
      <w:pStyle w:val="Footer"/>
      <w:framePr w:wrap="around"/>
    </w:pPr>
    <w:r>
      <w:t xml:space="preserve">© Commonwealth of Australia, </w:t>
    </w:r>
    <w:r>
      <w:fldChar w:fldCharType="begin"/>
    </w:r>
    <w:r>
      <w:instrText xml:space="preserve"> DATE  \@ "yyyy"  \* MERGEFORMAT </w:instrText>
    </w:r>
    <w:r>
      <w:fldChar w:fldCharType="separate"/>
    </w:r>
    <w:r w:rsidR="00D96857">
      <w:rPr>
        <w:noProof/>
      </w:rPr>
      <w:t>2025</w:t>
    </w:r>
    <w:r>
      <w:fldChar w:fldCharType="end"/>
    </w:r>
    <w:r>
      <w:tab/>
    </w:r>
    <w:r>
      <w:fldChar w:fldCharType="begin"/>
    </w:r>
    <w:r>
      <w:instrText xml:space="preserve"> DOCPROPERTY  Author  \* MERGEFORMAT </w:instrText>
    </w:r>
    <w:r>
      <w:fldChar w:fldCharType="separate"/>
    </w:r>
    <w:r w:rsidR="00D96857">
      <w:t>Manufacturing Industry Skills Alliance</w:t>
    </w:r>
    <w:r w:rsidR="00D96857">
      <w:fldChar w:fldCharType="end"/>
    </w:r>
  </w:p>
  <w:p w:rsidR="008B6BC0" w:rsidP="008B6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BC0" w:rsidRPr="00D96857" w:rsidP="00D96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57" w:rsidRPr="002D2AF8" w:rsidP="008B6BC0">
    <w:pPr>
      <w:pStyle w:val="Header"/>
      <w:framePr w:wrap="around"/>
    </w:pPr>
    <w:r>
      <w:fldChar w:fldCharType="begin"/>
    </w:r>
    <w:r>
      <w:instrText xml:space="preserve"> TITLE   \* MERGEFORMAT </w:instrText>
    </w:r>
    <w:r>
      <w:fldChar w:fldCharType="separate"/>
    </w:r>
    <w:r>
      <w:t>MEM20010 Gain entry and reinstate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6857" w:rsidP="008B6B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C0" w:rsidRPr="002D2AF8" w:rsidP="008B6BC0">
    <w:pPr>
      <w:pStyle w:val="Header"/>
      <w:framePr w:wrap="around"/>
    </w:pPr>
    <w:r>
      <w:fldChar w:fldCharType="begin"/>
    </w:r>
    <w:r>
      <w:instrText xml:space="preserve"> TITLE   \* MERGEFORMAT </w:instrText>
    </w:r>
    <w:r>
      <w:fldChar w:fldCharType="separate"/>
    </w:r>
    <w:r w:rsidR="00D96857">
      <w:t>MEM20010 Gain entry and reinstate automotive locking systems</w:t>
    </w:r>
    <w:r w:rsidR="00D96857">
      <w:fldChar w:fldCharType="end"/>
    </w:r>
    <w:r>
      <w:tab/>
      <w:t xml:space="preserve">Date this document was generated: </w:t>
    </w:r>
    <w:r>
      <w:fldChar w:fldCharType="begin"/>
    </w:r>
    <w:r>
      <w:instrText xml:space="preserve"> CREATEDATE  \@ "d MMMM yyyy"  \* MERGEFORMAT </w:instrText>
    </w:r>
    <w:r>
      <w:fldChar w:fldCharType="separate"/>
    </w:r>
    <w:r w:rsidR="00D96857">
      <w:rPr>
        <w:noProof/>
      </w:rPr>
      <w:t>2 March 2025</w:t>
    </w:r>
    <w:r>
      <w:fldChar w:fldCharType="end"/>
    </w:r>
  </w:p>
  <w:p w:rsidR="008B6BC0" w:rsidP="008B6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8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EC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86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BC0"/>
    <w:pPr>
      <w:spacing w:before="360" w:after="60"/>
      <w:outlineLvl w:val="0"/>
    </w:pPr>
    <w:rPr>
      <w:sz w:val="32"/>
    </w:rPr>
  </w:style>
  <w:style w:type="paragraph" w:styleId="Heading2">
    <w:name w:val="heading 2"/>
    <w:basedOn w:val="HeadingBase"/>
    <w:next w:val="BodyText"/>
    <w:link w:val="Heading2Char"/>
    <w:qFormat/>
    <w:rsid w:val="008B6BC0"/>
    <w:pPr>
      <w:keepLines/>
      <w:spacing w:before="240" w:after="120"/>
      <w:outlineLvl w:val="1"/>
    </w:pPr>
    <w:rPr>
      <w:sz w:val="28"/>
      <w:szCs w:val="40"/>
    </w:rPr>
  </w:style>
  <w:style w:type="paragraph" w:styleId="Heading3">
    <w:name w:val="heading 3"/>
    <w:basedOn w:val="HeadingBase"/>
    <w:next w:val="BodyText"/>
    <w:link w:val="Heading3Char"/>
    <w:qFormat/>
    <w:rsid w:val="008B6BC0"/>
    <w:pPr>
      <w:spacing w:before="180" w:after="120"/>
      <w:outlineLvl w:val="2"/>
    </w:pPr>
    <w:rPr>
      <w:spacing w:val="-10"/>
      <w:kern w:val="32"/>
    </w:rPr>
  </w:style>
  <w:style w:type="paragraph" w:styleId="Heading4">
    <w:name w:val="heading 4"/>
    <w:basedOn w:val="HeadingBase"/>
    <w:next w:val="BodyText"/>
    <w:link w:val="Heading4Char"/>
    <w:qFormat/>
    <w:rsid w:val="008B6BC0"/>
    <w:pPr>
      <w:spacing w:before="160" w:after="120"/>
      <w:outlineLvl w:val="3"/>
    </w:pPr>
    <w:rPr>
      <w:sz w:val="22"/>
    </w:rPr>
  </w:style>
  <w:style w:type="paragraph" w:styleId="Heading5">
    <w:name w:val="heading 5"/>
    <w:basedOn w:val="HeadingBase"/>
    <w:next w:val="Normal"/>
    <w:link w:val="Heading5Char"/>
    <w:qFormat/>
    <w:rsid w:val="008B6BC0"/>
    <w:pPr>
      <w:spacing w:before="80"/>
      <w:outlineLvl w:val="4"/>
    </w:pPr>
    <w:rPr>
      <w:color w:val="918585"/>
      <w:sz w:val="20"/>
    </w:rPr>
  </w:style>
  <w:style w:type="paragraph" w:styleId="Heading6">
    <w:name w:val="heading 6"/>
    <w:basedOn w:val="HeadingBase"/>
    <w:next w:val="Normal"/>
    <w:link w:val="Heading6Char"/>
    <w:qFormat/>
    <w:rsid w:val="008B6BC0"/>
    <w:pPr>
      <w:spacing w:before="60"/>
      <w:outlineLvl w:val="5"/>
    </w:pPr>
    <w:rPr>
      <w:color w:val="918585"/>
      <w:sz w:val="20"/>
    </w:rPr>
  </w:style>
  <w:style w:type="paragraph" w:styleId="Heading7">
    <w:name w:val="heading 7"/>
    <w:basedOn w:val="Normal"/>
    <w:next w:val="Normal"/>
    <w:link w:val="Heading7Char"/>
    <w:qFormat/>
    <w:rsid w:val="008B6BC0"/>
    <w:pPr>
      <w:ind w:left="720"/>
      <w:outlineLvl w:val="6"/>
    </w:pPr>
    <w:rPr>
      <w:i/>
    </w:rPr>
  </w:style>
  <w:style w:type="paragraph" w:styleId="Heading8">
    <w:name w:val="heading 8"/>
    <w:basedOn w:val="Normal"/>
    <w:next w:val="Normal"/>
    <w:link w:val="Heading8Char"/>
    <w:qFormat/>
    <w:rsid w:val="008B6BC0"/>
    <w:pPr>
      <w:ind w:left="720"/>
      <w:outlineLvl w:val="7"/>
    </w:pPr>
    <w:rPr>
      <w:i/>
    </w:rPr>
  </w:style>
  <w:style w:type="paragraph" w:styleId="Heading9">
    <w:name w:val="heading 9"/>
    <w:basedOn w:val="Normal"/>
    <w:next w:val="Normal"/>
    <w:link w:val="Heading9Char"/>
    <w:qFormat/>
    <w:rsid w:val="008B6BC0"/>
    <w:pPr>
      <w:ind w:left="720"/>
      <w:outlineLvl w:val="8"/>
    </w:pPr>
    <w:rPr>
      <w:i/>
    </w:rPr>
  </w:style>
  <w:style w:type="character" w:default="1" w:styleId="DefaultParagraphFont">
    <w:name w:val="Default Paragraph Font"/>
    <w:uiPriority w:val="1"/>
    <w:unhideWhenUsed/>
    <w:rsid w:val="008B6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BC0"/>
  </w:style>
  <w:style w:type="character" w:customStyle="1" w:styleId="Heading1Char">
    <w:name w:val="Heading 1 Char"/>
    <w:basedOn w:val="DefaultParagraphFont"/>
    <w:link w:val="Heading1"/>
    <w:rsid w:val="008B6BC0"/>
    <w:rPr>
      <w:rFonts w:ascii="Times New Roman" w:eastAsia="Times New Roman" w:hAnsi="Times New Roman" w:cs="Times New Roman"/>
      <w:b/>
      <w:sz w:val="32"/>
      <w:szCs w:val="20"/>
      <w:lang w:eastAsia="en-US"/>
    </w:rPr>
  </w:style>
  <w:style w:type="paragraph" w:styleId="BodyText">
    <w:name w:val="Body Text"/>
    <w:basedOn w:val="Normal"/>
    <w:link w:val="BodyTextChar"/>
    <w:rsid w:val="008B6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BC0"/>
    <w:rPr>
      <w:rFonts w:ascii="Times New Roman" w:eastAsia="Times New Roman" w:hAnsi="Times New Roman" w:cs="Times New Roman"/>
      <w:sz w:val="24"/>
      <w:lang w:eastAsia="en-US"/>
    </w:rPr>
  </w:style>
  <w:style w:type="paragraph" w:styleId="ListBullet">
    <w:name w:val="List Bullet"/>
    <w:basedOn w:val="List"/>
    <w:rsid w:val="008B6BC0"/>
    <w:pPr>
      <w:numPr>
        <w:numId w:val="12"/>
      </w:numPr>
      <w:tabs>
        <w:tab w:val="clear" w:pos="340"/>
      </w:tabs>
      <w:spacing w:before="40" w:after="40"/>
    </w:pPr>
  </w:style>
  <w:style w:type="character" w:customStyle="1" w:styleId="SpecialBold">
    <w:name w:val="Special Bold"/>
    <w:basedOn w:val="DefaultParagraphFont"/>
    <w:rsid w:val="008B6BC0"/>
    <w:rPr>
      <w:b/>
      <w:spacing w:val="0"/>
    </w:rPr>
  </w:style>
  <w:style w:type="paragraph" w:styleId="ListBullet2">
    <w:name w:val="List Bullet 2"/>
    <w:basedOn w:val="List2"/>
    <w:rsid w:val="008B6BC0"/>
    <w:pPr>
      <w:numPr>
        <w:numId w:val="13"/>
      </w:numPr>
      <w:tabs>
        <w:tab w:val="clear" w:pos="680"/>
      </w:tabs>
    </w:pPr>
  </w:style>
  <w:style w:type="character" w:styleId="Emphasis">
    <w:name w:val="Emphasis"/>
    <w:basedOn w:val="DefaultParagraphFont"/>
    <w:qFormat/>
    <w:rsid w:val="008B6BC0"/>
    <w:rPr>
      <w:i/>
    </w:rPr>
  </w:style>
  <w:style w:type="paragraph" w:customStyle="1" w:styleId="SuperHeading">
    <w:name w:val="SuperHeading"/>
    <w:basedOn w:val="Normal"/>
    <w:rsid w:val="008B6BC0"/>
    <w:pPr>
      <w:spacing w:before="240" w:after="120"/>
      <w:outlineLvl w:val="0"/>
    </w:pPr>
    <w:rPr>
      <w:rFonts w:ascii="Times New Roman" w:hAnsi="Times New Roman"/>
      <w:b/>
      <w:sz w:val="32"/>
    </w:rPr>
  </w:style>
  <w:style w:type="paragraph" w:customStyle="1" w:styleId="AllowPageBreak">
    <w:name w:val="AllowPageBreak"/>
    <w:rsid w:val="008B6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BC0"/>
    <w:rPr>
      <w:rFonts w:ascii="Courier New" w:eastAsia="Times New Roman" w:hAnsi="Courier New" w:cs="Times New Roman"/>
      <w:i/>
      <w:szCs w:val="20"/>
      <w:lang w:eastAsia="en-US"/>
    </w:rPr>
  </w:style>
  <w:style w:type="paragraph" w:customStyle="1" w:styleId="HeadingBase">
    <w:name w:val="Heading Base"/>
    <w:rsid w:val="008B6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BC0"/>
    <w:pPr>
      <w:tabs>
        <w:tab w:val="right" w:leader="dot" w:pos="9072"/>
      </w:tabs>
      <w:ind w:left="567"/>
    </w:pPr>
    <w:rPr>
      <w:szCs w:val="22"/>
    </w:rPr>
  </w:style>
  <w:style w:type="paragraph" w:customStyle="1" w:styleId="TOCBase">
    <w:name w:val="TOC Base"/>
    <w:rsid w:val="008B6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BC0"/>
    <w:pPr>
      <w:tabs>
        <w:tab w:val="right" w:leader="dot" w:pos="9072"/>
      </w:tabs>
      <w:spacing w:before="40" w:after="40"/>
      <w:ind w:left="284"/>
    </w:pPr>
    <w:rPr>
      <w:rFonts w:ascii="Times New Roman" w:hAnsi="Times New Roman"/>
    </w:rPr>
  </w:style>
  <w:style w:type="paragraph" w:styleId="TOC1">
    <w:name w:val="toc 1"/>
    <w:basedOn w:val="TOCBase"/>
    <w:next w:val="Normal"/>
    <w:rsid w:val="008B6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BC0"/>
    <w:rPr>
      <w:rFonts w:ascii="Times New Roman" w:eastAsia="Times New Roman" w:hAnsi="Times New Roman" w:cs="Times New Roman"/>
      <w:sz w:val="16"/>
      <w:lang w:eastAsia="en-US"/>
    </w:rPr>
  </w:style>
  <w:style w:type="paragraph" w:styleId="Title">
    <w:name w:val="Title"/>
    <w:basedOn w:val="HeadingBase"/>
    <w:link w:val="TitleChar"/>
    <w:qFormat/>
    <w:rsid w:val="008B6BC0"/>
    <w:pPr>
      <w:spacing w:before="5040"/>
      <w:jc w:val="center"/>
    </w:pPr>
    <w:rPr>
      <w:sz w:val="48"/>
      <w:szCs w:val="72"/>
      <w:lang w:val="en-US"/>
    </w:rPr>
  </w:style>
  <w:style w:type="character" w:customStyle="1" w:styleId="TitleChar">
    <w:name w:val="Title Char"/>
    <w:basedOn w:val="DefaultParagraphFont"/>
    <w:link w:val="Title"/>
    <w:rsid w:val="008B6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BC0"/>
    <w:pPr>
      <w:tabs>
        <w:tab w:val="left" w:pos="3600"/>
        <w:tab w:val="left" w:pos="3958"/>
      </w:tabs>
    </w:pPr>
  </w:style>
  <w:style w:type="paragraph" w:styleId="List">
    <w:name w:val="List"/>
    <w:basedOn w:val="BodyText"/>
    <w:next w:val="BodyText"/>
    <w:rsid w:val="008B6BC0"/>
    <w:pPr>
      <w:tabs>
        <w:tab w:val="left" w:pos="340"/>
      </w:tabs>
      <w:spacing w:before="60" w:after="60"/>
      <w:ind w:left="340" w:hanging="340"/>
    </w:pPr>
  </w:style>
  <w:style w:type="paragraph" w:customStyle="1" w:styleId="Note">
    <w:name w:val="Note"/>
    <w:basedOn w:val="BodyText"/>
    <w:rsid w:val="008B6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BC0"/>
    <w:pPr>
      <w:framePr w:wrap="auto" w:hAnchor="text" w:y="6049"/>
    </w:pPr>
    <w:rPr>
      <w:color w:val="000000"/>
      <w:sz w:val="40"/>
    </w:rPr>
  </w:style>
  <w:style w:type="paragraph" w:customStyle="1" w:styleId="TOCTitle">
    <w:name w:val="TOCTitle"/>
    <w:basedOn w:val="Heading1"/>
    <w:rsid w:val="008B6BC0"/>
    <w:pPr>
      <w:spacing w:after="240"/>
      <w:jc w:val="center"/>
      <w:outlineLvl w:val="9"/>
    </w:pPr>
    <w:rPr>
      <w:caps/>
    </w:rPr>
  </w:style>
  <w:style w:type="paragraph" w:customStyle="1" w:styleId="Version">
    <w:name w:val="Version"/>
    <w:rsid w:val="008B6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BC0"/>
    <w:pPr>
      <w:keepNext w:val="0"/>
      <w:tabs>
        <w:tab w:val="right" w:pos="4176"/>
      </w:tabs>
      <w:ind w:left="198" w:hanging="198"/>
    </w:pPr>
    <w:rPr>
      <w:rFonts w:ascii="Garamond" w:hAnsi="Garamond"/>
    </w:rPr>
  </w:style>
  <w:style w:type="paragraph" w:styleId="IndexHeading">
    <w:name w:val="index heading"/>
    <w:basedOn w:val="Normal"/>
    <w:next w:val="Index1"/>
    <w:semiHidden/>
    <w:rsid w:val="008B6BC0"/>
    <w:pPr>
      <w:spacing w:before="120" w:after="120"/>
    </w:pPr>
    <w:rPr>
      <w:rFonts w:ascii="Arial" w:hAnsi="Arial"/>
      <w:b/>
      <w:color w:val="918585"/>
      <w:sz w:val="24"/>
    </w:rPr>
  </w:style>
  <w:style w:type="paragraph" w:styleId="Header">
    <w:name w:val="header"/>
    <w:basedOn w:val="Normal"/>
    <w:link w:val="HeaderChar"/>
    <w:rsid w:val="008B6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BC0"/>
    <w:rPr>
      <w:rFonts w:ascii="Times New Roman" w:eastAsia="Times New Roman" w:hAnsi="Times New Roman" w:cs="Times New Roman"/>
      <w:sz w:val="16"/>
      <w:szCs w:val="20"/>
      <w:lang w:val="en-GB" w:eastAsia="en-US"/>
    </w:rPr>
  </w:style>
  <w:style w:type="paragraph" w:customStyle="1" w:styleId="Chapter">
    <w:name w:val="Chapter"/>
    <w:basedOn w:val="Normal"/>
    <w:rsid w:val="008B6BC0"/>
    <w:pPr>
      <w:spacing w:before="240"/>
    </w:pPr>
    <w:rPr>
      <w:rFonts w:ascii="Times New Roman" w:hAnsi="Times New Roman"/>
      <w:smallCaps/>
      <w:spacing w:val="80"/>
      <w:sz w:val="28"/>
    </w:rPr>
  </w:style>
  <w:style w:type="paragraph" w:customStyle="1" w:styleId="InChapter">
    <w:name w:val="InChapter"/>
    <w:basedOn w:val="Heading3"/>
    <w:rsid w:val="008B6BC0"/>
    <w:pPr>
      <w:spacing w:after="240"/>
      <w:outlineLvl w:val="9"/>
    </w:pPr>
    <w:rPr>
      <w:noProof/>
    </w:rPr>
  </w:style>
  <w:style w:type="paragraph" w:styleId="Index2">
    <w:name w:val="index 2"/>
    <w:basedOn w:val="Normal"/>
    <w:next w:val="Normal"/>
    <w:semiHidden/>
    <w:rsid w:val="008B6BC0"/>
    <w:pPr>
      <w:tabs>
        <w:tab w:val="right" w:pos="4176"/>
      </w:tabs>
      <w:ind w:left="568" w:hanging="284"/>
    </w:pPr>
    <w:rPr>
      <w:rFonts w:ascii="Garamond" w:hAnsi="Garamond"/>
    </w:rPr>
  </w:style>
  <w:style w:type="paragraph" w:customStyle="1" w:styleId="Byline">
    <w:name w:val="Byline"/>
    <w:rsid w:val="008B6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BC0"/>
    <w:pPr>
      <w:tabs>
        <w:tab w:val="clear" w:pos="3600"/>
        <w:tab w:val="clear" w:pos="3958"/>
      </w:tabs>
      <w:jc w:val="right"/>
    </w:pPr>
  </w:style>
  <w:style w:type="paragraph" w:styleId="Caption">
    <w:name w:val="caption"/>
    <w:basedOn w:val="BodyText"/>
    <w:next w:val="Normal"/>
    <w:qFormat/>
    <w:rsid w:val="008B6BC0"/>
    <w:pPr>
      <w:framePr w:w="2268" w:hSpace="181" w:vSpace="181" w:wrap="around" w:vAnchor="text" w:hAnchor="page" w:x="1135" w:y="285" w:anchorLock="1"/>
    </w:pPr>
    <w:rPr>
      <w:i/>
    </w:rPr>
  </w:style>
  <w:style w:type="paragraph" w:customStyle="1" w:styleId="MiniTOCTitle">
    <w:name w:val="MiniTOCTitle"/>
    <w:basedOn w:val="Heading4"/>
    <w:rsid w:val="008B6BC0"/>
    <w:pPr>
      <w:spacing w:before="240"/>
      <w:outlineLvl w:val="9"/>
    </w:pPr>
    <w:rPr>
      <w:noProof/>
      <w:sz w:val="24"/>
    </w:rPr>
  </w:style>
  <w:style w:type="paragraph" w:customStyle="1" w:styleId="MiniTOCItem">
    <w:name w:val="MiniTOCItem"/>
    <w:basedOn w:val="ListBullet"/>
    <w:rsid w:val="008B6BC0"/>
    <w:pPr>
      <w:numPr>
        <w:numId w:val="0"/>
      </w:numPr>
      <w:tabs>
        <w:tab w:val="right" w:leader="dot" w:pos="6521"/>
      </w:tabs>
      <w:spacing w:before="0" w:after="0"/>
    </w:pPr>
  </w:style>
  <w:style w:type="paragraph" w:customStyle="1" w:styleId="TOFTitle">
    <w:name w:val="TOFTitle"/>
    <w:basedOn w:val="TOCTitle"/>
    <w:rsid w:val="008B6BC0"/>
  </w:style>
  <w:style w:type="paragraph" w:styleId="TableofFigures">
    <w:name w:val="table of figures"/>
    <w:basedOn w:val="Normal"/>
    <w:next w:val="Normal"/>
    <w:semiHidden/>
    <w:rsid w:val="008B6BC0"/>
    <w:pPr>
      <w:tabs>
        <w:tab w:val="right" w:leader="dot" w:pos="9072"/>
      </w:tabs>
      <w:ind w:left="970" w:hanging="403"/>
    </w:pPr>
    <w:rPr>
      <w:rFonts w:ascii="Times New Roman" w:hAnsi="Times New Roman"/>
      <w:b/>
    </w:rPr>
  </w:style>
  <w:style w:type="paragraph" w:styleId="ListNumber">
    <w:name w:val="List Number"/>
    <w:basedOn w:val="List"/>
    <w:rsid w:val="008B6BC0"/>
    <w:pPr>
      <w:numPr>
        <w:numId w:val="15"/>
      </w:numPr>
      <w:tabs>
        <w:tab w:val="clear" w:pos="340"/>
      </w:tabs>
    </w:pPr>
  </w:style>
  <w:style w:type="character" w:customStyle="1" w:styleId="WingdingSymbols">
    <w:name w:val="Wingding Symbols"/>
    <w:rsid w:val="008B6BC0"/>
    <w:rPr>
      <w:rFonts w:ascii="Wingdings" w:hAnsi="Wingdings"/>
    </w:rPr>
  </w:style>
  <w:style w:type="paragraph" w:customStyle="1" w:styleId="TableHeading">
    <w:name w:val="Table Heading"/>
    <w:basedOn w:val="HeadingBase"/>
    <w:rsid w:val="008B6BC0"/>
    <w:pPr>
      <w:keepLines/>
      <w:pBdr>
        <w:bottom w:val="single" w:sz="6" w:space="1" w:color="918585"/>
      </w:pBdr>
      <w:spacing w:before="240"/>
    </w:pPr>
  </w:style>
  <w:style w:type="character" w:customStyle="1" w:styleId="HotSpot">
    <w:name w:val="HotSpot"/>
    <w:rsid w:val="008B6BC0"/>
    <w:rPr>
      <w:color w:val="0033CC"/>
      <w:u w:val="none"/>
    </w:rPr>
  </w:style>
  <w:style w:type="paragraph" w:customStyle="1" w:styleId="BodyTextRight">
    <w:name w:val="Body Text Right"/>
    <w:basedOn w:val="BodyText"/>
    <w:rsid w:val="008B6BC0"/>
    <w:pPr>
      <w:spacing w:before="0" w:after="0"/>
      <w:jc w:val="right"/>
    </w:pPr>
  </w:style>
  <w:style w:type="paragraph" w:styleId="Index3">
    <w:name w:val="index 3"/>
    <w:basedOn w:val="ListNumber2"/>
    <w:next w:val="Normal"/>
    <w:semiHidden/>
    <w:rsid w:val="008B6BC0"/>
    <w:pPr>
      <w:numPr>
        <w:numId w:val="0"/>
      </w:numPr>
      <w:tabs>
        <w:tab w:val="right" w:leader="dot" w:pos="4176"/>
      </w:tabs>
    </w:pPr>
  </w:style>
  <w:style w:type="paragraph" w:styleId="ListNumber2">
    <w:name w:val="List Number 2"/>
    <w:basedOn w:val="List2"/>
    <w:rsid w:val="008B6BC0"/>
    <w:pPr>
      <w:numPr>
        <w:numId w:val="10"/>
      </w:numPr>
      <w:tabs>
        <w:tab w:val="clear" w:pos="1060"/>
      </w:tabs>
    </w:pPr>
  </w:style>
  <w:style w:type="paragraph" w:customStyle="1" w:styleId="MarginNote">
    <w:name w:val="Margin Note"/>
    <w:basedOn w:val="BodyText"/>
    <w:rsid w:val="008B6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BC0"/>
    <w:rPr>
      <w:sz w:val="32"/>
    </w:rPr>
  </w:style>
  <w:style w:type="paragraph" w:customStyle="1" w:styleId="HeadingProcedure">
    <w:name w:val="Heading Procedure"/>
    <w:basedOn w:val="HeadingBase"/>
    <w:next w:val="Normal"/>
    <w:rsid w:val="008B6BC0"/>
    <w:pPr>
      <w:tabs>
        <w:tab w:val="left" w:pos="0"/>
      </w:tabs>
      <w:spacing w:before="120" w:after="60"/>
    </w:pPr>
    <w:rPr>
      <w:i/>
      <w:color w:val="918585"/>
      <w:sz w:val="22"/>
    </w:rPr>
  </w:style>
  <w:style w:type="paragraph" w:customStyle="1" w:styleId="TableBodyText">
    <w:name w:val="Table Body Text"/>
    <w:basedOn w:val="BodyText"/>
    <w:rsid w:val="008B6BC0"/>
    <w:pPr>
      <w:spacing w:before="60" w:after="60"/>
    </w:pPr>
  </w:style>
  <w:style w:type="paragraph" w:styleId="ListContinue">
    <w:name w:val="List Continue"/>
    <w:basedOn w:val="List"/>
    <w:rsid w:val="008B6BC0"/>
    <w:pPr>
      <w:ind w:firstLine="0"/>
    </w:pPr>
  </w:style>
  <w:style w:type="paragraph" w:customStyle="1" w:styleId="ListNote">
    <w:name w:val="List Note"/>
    <w:basedOn w:val="List"/>
    <w:rsid w:val="008B6BC0"/>
    <w:pPr>
      <w:pBdr>
        <w:top w:val="single" w:sz="6" w:space="2" w:color="918585"/>
        <w:bottom w:val="single" w:sz="6" w:space="2" w:color="918585"/>
      </w:pBdr>
      <w:tabs>
        <w:tab w:val="left" w:pos="1021"/>
      </w:tabs>
      <w:ind w:firstLine="0"/>
    </w:pPr>
  </w:style>
  <w:style w:type="paragraph" w:customStyle="1" w:styleId="Warning">
    <w:name w:val="Warning"/>
    <w:basedOn w:val="BodyText"/>
    <w:rsid w:val="008B6BC0"/>
    <w:pPr>
      <w:shd w:val="clear" w:color="auto" w:fill="D9D9D9"/>
      <w:tabs>
        <w:tab w:val="left" w:pos="992"/>
      </w:tabs>
      <w:ind w:left="119" w:right="119"/>
    </w:pPr>
    <w:rPr>
      <w:sz w:val="20"/>
    </w:rPr>
  </w:style>
  <w:style w:type="paragraph" w:customStyle="1" w:styleId="MarginIcons">
    <w:name w:val="Margin Icons"/>
    <w:basedOn w:val="BodyText"/>
    <w:rsid w:val="008B6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BC0"/>
    <w:rPr>
      <w:rFonts w:ascii="Courier New" w:hAnsi="Courier New"/>
    </w:rPr>
  </w:style>
  <w:style w:type="paragraph" w:customStyle="1" w:styleId="NoteBullet">
    <w:name w:val="Note Bullet"/>
    <w:basedOn w:val="Note"/>
    <w:rsid w:val="008B6BC0"/>
    <w:pPr>
      <w:tabs>
        <w:tab w:val="clear" w:pos="680"/>
      </w:tabs>
      <w:spacing w:before="60" w:after="60"/>
    </w:pPr>
  </w:style>
  <w:style w:type="paragraph" w:customStyle="1" w:styleId="SubHeading2">
    <w:name w:val="SubHeading2"/>
    <w:basedOn w:val="HeadingBase"/>
    <w:rsid w:val="008B6BC0"/>
    <w:pPr>
      <w:spacing w:before="240" w:after="60"/>
    </w:pPr>
    <w:rPr>
      <w:sz w:val="20"/>
    </w:rPr>
  </w:style>
  <w:style w:type="paragraph" w:customStyle="1" w:styleId="SubHeading1">
    <w:name w:val="SubHeading1"/>
    <w:basedOn w:val="HeadingBase"/>
    <w:rsid w:val="008B6BC0"/>
    <w:pPr>
      <w:spacing w:before="240" w:after="60"/>
    </w:pPr>
    <w:rPr>
      <w:color w:val="918585"/>
      <w:sz w:val="22"/>
    </w:rPr>
  </w:style>
  <w:style w:type="paragraph" w:customStyle="1" w:styleId="SideHeading">
    <w:name w:val="Side Heading"/>
    <w:basedOn w:val="HeadingBase"/>
    <w:rsid w:val="008B6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BC0"/>
    <w:pPr>
      <w:tabs>
        <w:tab w:val="num" w:pos="360"/>
      </w:tabs>
    </w:pPr>
  </w:style>
  <w:style w:type="paragraph" w:styleId="PlainText">
    <w:name w:val="Plain Text"/>
    <w:basedOn w:val="Normal"/>
    <w:link w:val="PlainTextChar"/>
    <w:rsid w:val="008B6BC0"/>
    <w:rPr>
      <w:sz w:val="20"/>
    </w:rPr>
  </w:style>
  <w:style w:type="character" w:customStyle="1" w:styleId="PlainTextChar">
    <w:name w:val="Plain Text Char"/>
    <w:basedOn w:val="DefaultParagraphFont"/>
    <w:link w:val="PlainText"/>
    <w:rsid w:val="008B6BC0"/>
    <w:rPr>
      <w:rFonts w:ascii="Courier New" w:eastAsia="Times New Roman" w:hAnsi="Courier New" w:cs="Times New Roman"/>
      <w:sz w:val="20"/>
      <w:szCs w:val="20"/>
      <w:lang w:eastAsia="en-US"/>
    </w:rPr>
  </w:style>
  <w:style w:type="character" w:customStyle="1" w:styleId="MenuOption">
    <w:name w:val="Menu Option"/>
    <w:basedOn w:val="DefaultParagraphFont"/>
    <w:rsid w:val="008B6BC0"/>
    <w:rPr>
      <w:b/>
      <w:smallCaps/>
    </w:rPr>
  </w:style>
  <w:style w:type="paragraph" w:customStyle="1" w:styleId="TableListNumber">
    <w:name w:val="Table List Number"/>
    <w:basedOn w:val="ListNumber"/>
    <w:rsid w:val="008B6BC0"/>
    <w:pPr>
      <w:numPr>
        <w:numId w:val="0"/>
      </w:numPr>
    </w:pPr>
  </w:style>
  <w:style w:type="paragraph" w:styleId="TOC4">
    <w:name w:val="toc 4"/>
    <w:basedOn w:val="TOCBase"/>
    <w:next w:val="Normal"/>
    <w:semiHidden/>
    <w:rsid w:val="008B6BC0"/>
    <w:pPr>
      <w:tabs>
        <w:tab w:val="right" w:leader="dot" w:pos="9071"/>
      </w:tabs>
      <w:ind w:left="1701"/>
    </w:pPr>
  </w:style>
  <w:style w:type="paragraph" w:customStyle="1" w:styleId="ListAlpha">
    <w:name w:val="List Alpha"/>
    <w:basedOn w:val="List"/>
    <w:rsid w:val="008B6BC0"/>
    <w:pPr>
      <w:numPr>
        <w:numId w:val="9"/>
      </w:numPr>
    </w:pPr>
  </w:style>
  <w:style w:type="paragraph" w:customStyle="1" w:styleId="ListAlpha2">
    <w:name w:val="List Alpha 2"/>
    <w:basedOn w:val="List2"/>
    <w:rsid w:val="008B6BC0"/>
    <w:pPr>
      <w:numPr>
        <w:numId w:val="8"/>
      </w:numPr>
    </w:pPr>
  </w:style>
  <w:style w:type="paragraph" w:styleId="List2">
    <w:name w:val="List 2"/>
    <w:basedOn w:val="BodyText"/>
    <w:rsid w:val="008B6BC0"/>
    <w:pPr>
      <w:tabs>
        <w:tab w:val="left" w:pos="680"/>
      </w:tabs>
      <w:spacing w:before="60" w:after="60"/>
      <w:ind w:left="680" w:hanging="340"/>
    </w:pPr>
  </w:style>
  <w:style w:type="paragraph" w:styleId="List3">
    <w:name w:val="List 3"/>
    <w:basedOn w:val="BodyText"/>
    <w:rsid w:val="008B6BC0"/>
    <w:pPr>
      <w:tabs>
        <w:tab w:val="left" w:pos="1021"/>
      </w:tabs>
      <w:spacing w:before="60" w:after="60"/>
      <w:ind w:left="1020" w:hanging="340"/>
    </w:pPr>
  </w:style>
  <w:style w:type="paragraph" w:styleId="List4">
    <w:name w:val="List 4"/>
    <w:basedOn w:val="BodyText"/>
    <w:rsid w:val="008B6BC0"/>
    <w:pPr>
      <w:tabs>
        <w:tab w:val="left" w:pos="1361"/>
      </w:tabs>
      <w:spacing w:before="60" w:after="60"/>
      <w:ind w:left="1361" w:hanging="340"/>
    </w:pPr>
  </w:style>
  <w:style w:type="paragraph" w:styleId="List5">
    <w:name w:val="List 5"/>
    <w:basedOn w:val="BodyText"/>
    <w:rsid w:val="008B6BC0"/>
    <w:pPr>
      <w:tabs>
        <w:tab w:val="left" w:pos="1701"/>
      </w:tabs>
      <w:spacing w:before="60" w:after="60"/>
      <w:ind w:left="1701" w:hanging="340"/>
    </w:pPr>
  </w:style>
  <w:style w:type="paragraph" w:styleId="ListBullet3">
    <w:name w:val="List Bullet 3"/>
    <w:basedOn w:val="List3"/>
    <w:rsid w:val="008B6BC0"/>
    <w:pPr>
      <w:numPr>
        <w:numId w:val="14"/>
      </w:numPr>
      <w:tabs>
        <w:tab w:val="clear" w:pos="1021"/>
      </w:tabs>
      <w:ind w:left="1037" w:hanging="357"/>
    </w:pPr>
  </w:style>
  <w:style w:type="paragraph" w:styleId="ListBullet4">
    <w:name w:val="List Bullet 4"/>
    <w:basedOn w:val="List4"/>
    <w:rsid w:val="008B6BC0"/>
    <w:pPr>
      <w:numPr>
        <w:numId w:val="3"/>
      </w:numPr>
      <w:tabs>
        <w:tab w:val="clear" w:pos="1361"/>
      </w:tabs>
    </w:pPr>
  </w:style>
  <w:style w:type="paragraph" w:styleId="ListBullet5">
    <w:name w:val="List Bullet 5"/>
    <w:basedOn w:val="List5"/>
    <w:rsid w:val="008B6BC0"/>
    <w:pPr>
      <w:numPr>
        <w:numId w:val="4"/>
      </w:numPr>
    </w:pPr>
  </w:style>
  <w:style w:type="paragraph" w:styleId="ListContinue2">
    <w:name w:val="List Continue 2"/>
    <w:basedOn w:val="List2"/>
    <w:rsid w:val="008B6BC0"/>
    <w:pPr>
      <w:ind w:firstLine="0"/>
    </w:pPr>
  </w:style>
  <w:style w:type="paragraph" w:styleId="ListContinue3">
    <w:name w:val="List Continue 3"/>
    <w:basedOn w:val="List3"/>
    <w:rsid w:val="008B6BC0"/>
    <w:pPr>
      <w:ind w:left="1021" w:firstLine="0"/>
    </w:pPr>
  </w:style>
  <w:style w:type="paragraph" w:styleId="ListContinue4">
    <w:name w:val="List Continue 4"/>
    <w:basedOn w:val="List4"/>
    <w:rsid w:val="008B6BC0"/>
    <w:pPr>
      <w:ind w:firstLine="0"/>
    </w:pPr>
  </w:style>
  <w:style w:type="paragraph" w:styleId="ListContinue5">
    <w:name w:val="List Continue 5"/>
    <w:basedOn w:val="List5"/>
    <w:rsid w:val="008B6BC0"/>
    <w:pPr>
      <w:ind w:firstLine="0"/>
    </w:pPr>
  </w:style>
  <w:style w:type="paragraph" w:styleId="ListNumber3">
    <w:name w:val="List Number 3"/>
    <w:basedOn w:val="List3"/>
    <w:rsid w:val="008B6BC0"/>
    <w:pPr>
      <w:numPr>
        <w:numId w:val="5"/>
      </w:numPr>
    </w:pPr>
  </w:style>
  <w:style w:type="paragraph" w:styleId="ListNumber4">
    <w:name w:val="List Number 4"/>
    <w:basedOn w:val="List4"/>
    <w:rsid w:val="008B6BC0"/>
    <w:pPr>
      <w:numPr>
        <w:numId w:val="6"/>
      </w:numPr>
    </w:pPr>
  </w:style>
  <w:style w:type="paragraph" w:styleId="ListNumber5">
    <w:name w:val="List Number 5"/>
    <w:basedOn w:val="List5"/>
    <w:rsid w:val="008B6BC0"/>
    <w:pPr>
      <w:numPr>
        <w:numId w:val="7"/>
      </w:numPr>
    </w:pPr>
  </w:style>
  <w:style w:type="paragraph" w:styleId="BlockText">
    <w:name w:val="Block Text"/>
    <w:basedOn w:val="Normal"/>
    <w:rsid w:val="008B6BC0"/>
    <w:pPr>
      <w:spacing w:after="120"/>
      <w:ind w:left="1440" w:right="1440"/>
    </w:pPr>
  </w:style>
  <w:style w:type="character" w:customStyle="1" w:styleId="Subscript">
    <w:name w:val="Subscript"/>
    <w:basedOn w:val="DefaultParagraphFont"/>
    <w:rsid w:val="008B6BC0"/>
    <w:rPr>
      <w:sz w:val="16"/>
      <w:vertAlign w:val="subscript"/>
    </w:rPr>
  </w:style>
  <w:style w:type="character" w:customStyle="1" w:styleId="Superscript">
    <w:name w:val="Superscript"/>
    <w:basedOn w:val="DefaultParagraphFont"/>
    <w:rsid w:val="008B6BC0"/>
    <w:rPr>
      <w:sz w:val="16"/>
      <w:vertAlign w:val="superscript"/>
    </w:rPr>
  </w:style>
  <w:style w:type="character" w:customStyle="1" w:styleId="Symbols">
    <w:name w:val="Symbols"/>
    <w:basedOn w:val="DefaultParagraphFont"/>
    <w:rsid w:val="008B6BC0"/>
    <w:rPr>
      <w:rFonts w:ascii="Symbol" w:hAnsi="Symbol"/>
    </w:rPr>
  </w:style>
  <w:style w:type="character" w:customStyle="1" w:styleId="MenuOptions">
    <w:name w:val="Menu Options"/>
    <w:basedOn w:val="DefaultParagraphFont"/>
    <w:rsid w:val="008B6BC0"/>
    <w:rPr>
      <w:rFonts w:ascii="Arial Narrow" w:hAnsi="Arial Narrow"/>
      <w:smallCaps/>
    </w:rPr>
  </w:style>
  <w:style w:type="character" w:customStyle="1" w:styleId="Buttons">
    <w:name w:val="Buttons"/>
    <w:basedOn w:val="DefaultParagraphFont"/>
    <w:rsid w:val="008B6BC0"/>
    <w:rPr>
      <w:b/>
    </w:rPr>
  </w:style>
  <w:style w:type="character" w:customStyle="1" w:styleId="Underlined">
    <w:name w:val="Underlined"/>
    <w:basedOn w:val="DefaultParagraphFont"/>
    <w:rsid w:val="008B6BC0"/>
    <w:rPr>
      <w:u w:val="single"/>
    </w:rPr>
  </w:style>
  <w:style w:type="paragraph" w:customStyle="1" w:styleId="TableBodyTextRight">
    <w:name w:val="Table Body Text Right"/>
    <w:basedOn w:val="TableBodyText"/>
    <w:rsid w:val="008B6BC0"/>
    <w:pPr>
      <w:widowControl w:val="0"/>
      <w:autoSpaceDE w:val="0"/>
      <w:autoSpaceDN w:val="0"/>
      <w:adjustRightInd w:val="0"/>
      <w:jc w:val="right"/>
    </w:pPr>
    <w:rPr>
      <w:rFonts w:cs="Arial"/>
      <w:szCs w:val="18"/>
    </w:rPr>
  </w:style>
  <w:style w:type="paragraph" w:customStyle="1" w:styleId="CopyrightText">
    <w:name w:val="Copyright Text"/>
    <w:basedOn w:val="BodyText"/>
    <w:rsid w:val="008B6BC0"/>
    <w:rPr>
      <w:sz w:val="18"/>
    </w:rPr>
  </w:style>
  <w:style w:type="paragraph" w:customStyle="1" w:styleId="BodySmallRight">
    <w:name w:val="Body Small Right"/>
    <w:basedOn w:val="BodyTextRight"/>
    <w:rsid w:val="008B6BC0"/>
    <w:rPr>
      <w:sz w:val="18"/>
      <w:szCs w:val="18"/>
    </w:rPr>
  </w:style>
  <w:style w:type="paragraph" w:customStyle="1" w:styleId="MarginEdition">
    <w:name w:val="Margin Edition"/>
    <w:basedOn w:val="MarginNote"/>
    <w:rsid w:val="008B6BC0"/>
    <w:pPr>
      <w:spacing w:before="0" w:after="0"/>
    </w:pPr>
    <w:rPr>
      <w:rFonts w:ascii="Times New Roman" w:hAnsi="Times New Roman"/>
      <w:color w:val="999999"/>
    </w:rPr>
  </w:style>
  <w:style w:type="paragraph" w:customStyle="1" w:styleId="Spacer">
    <w:name w:val="Spacer"/>
    <w:basedOn w:val="Normal"/>
    <w:rsid w:val="008B6BC0"/>
    <w:rPr>
      <w:sz w:val="2"/>
      <w:szCs w:val="2"/>
    </w:rPr>
  </w:style>
  <w:style w:type="character" w:customStyle="1" w:styleId="Small">
    <w:name w:val="Small"/>
    <w:basedOn w:val="DefaultParagraphFont"/>
    <w:rsid w:val="008B6BC0"/>
    <w:rPr>
      <w:sz w:val="16"/>
    </w:rPr>
  </w:style>
  <w:style w:type="paragraph" w:customStyle="1" w:styleId="WideTable">
    <w:name w:val="Wide Table"/>
    <w:basedOn w:val="Normal"/>
    <w:rsid w:val="008B6BC0"/>
    <w:pPr>
      <w:ind w:left="-1418"/>
    </w:pPr>
    <w:rPr>
      <w:sz w:val="2"/>
      <w:szCs w:val="2"/>
    </w:rPr>
  </w:style>
  <w:style w:type="character" w:styleId="PageNumber">
    <w:name w:val="page number"/>
    <w:basedOn w:val="DefaultParagraphFont"/>
    <w:rsid w:val="008B6BC0"/>
  </w:style>
  <w:style w:type="paragraph" w:styleId="Quote">
    <w:name w:val="Quote"/>
    <w:basedOn w:val="Heading1"/>
    <w:link w:val="QuoteChar"/>
    <w:qFormat/>
    <w:rsid w:val="008B6BC0"/>
    <w:rPr>
      <w:b w:val="0"/>
      <w:sz w:val="72"/>
      <w:szCs w:val="72"/>
      <w:lang w:val="en-NZ"/>
    </w:rPr>
  </w:style>
  <w:style w:type="character" w:customStyle="1" w:styleId="QuoteChar">
    <w:name w:val="Quote Char"/>
    <w:basedOn w:val="DefaultParagraphFont"/>
    <w:link w:val="Quote"/>
    <w:rsid w:val="008B6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BC0"/>
    <w:pPr>
      <w:pageBreakBefore/>
    </w:pPr>
  </w:style>
  <w:style w:type="paragraph" w:customStyle="1" w:styleId="Border">
    <w:name w:val="Border"/>
    <w:basedOn w:val="Normal"/>
    <w:qFormat/>
    <w:rsid w:val="008B6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BC0"/>
    <w:rPr>
      <w:b/>
      <w:bCs/>
      <w:i/>
      <w:iCs/>
      <w:color w:val="auto"/>
    </w:rPr>
  </w:style>
  <w:style w:type="paragraph" w:styleId="IntenseQuote">
    <w:name w:val="Intense Quote"/>
    <w:basedOn w:val="Normal"/>
    <w:next w:val="Normal"/>
    <w:link w:val="IntenseQuoteChar"/>
    <w:uiPriority w:val="30"/>
    <w:qFormat/>
    <w:rsid w:val="008B6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BC0"/>
    <w:rPr>
      <w:smallCaps/>
      <w:color w:val="auto"/>
      <w:u w:val="single"/>
    </w:rPr>
  </w:style>
  <w:style w:type="character" w:styleId="IntenseReference">
    <w:name w:val="Intense Reference"/>
    <w:basedOn w:val="DefaultParagraphFont"/>
    <w:uiPriority w:val="32"/>
    <w:qFormat/>
    <w:rsid w:val="008B6BC0"/>
    <w:rPr>
      <w:b/>
      <w:bCs/>
      <w:smallCaps/>
      <w:color w:val="auto"/>
      <w:spacing w:val="5"/>
      <w:u w:val="single"/>
    </w:rPr>
  </w:style>
  <w:style w:type="paragraph" w:customStyle="1" w:styleId="2ColumnHeading">
    <w:name w:val="2Column Heading"/>
    <w:basedOn w:val="BodyText"/>
    <w:qFormat/>
    <w:rsid w:val="008B6BC0"/>
    <w:pPr>
      <w:spacing w:after="60"/>
      <w:ind w:left="-2268"/>
    </w:pPr>
    <w:rPr>
      <w:b/>
    </w:rPr>
  </w:style>
  <w:style w:type="paragraph" w:customStyle="1" w:styleId="Heading1TOC">
    <w:name w:val="Heading1 TOC"/>
    <w:basedOn w:val="Normal"/>
    <w:qFormat/>
    <w:rsid w:val="008B6BC0"/>
    <w:pPr>
      <w:spacing w:before="240" w:after="120"/>
    </w:pPr>
    <w:rPr>
      <w:rFonts w:ascii="Times New Roman" w:hAnsi="Times New Roman"/>
      <w:b/>
      <w:sz w:val="32"/>
    </w:rPr>
  </w:style>
  <w:style w:type="paragraph" w:customStyle="1" w:styleId="Heading2TOC">
    <w:name w:val="Heading2 TOC"/>
    <w:basedOn w:val="Normal"/>
    <w:qFormat/>
    <w:rsid w:val="008B6BC0"/>
    <w:pPr>
      <w:spacing w:before="240" w:after="60"/>
    </w:pPr>
    <w:rPr>
      <w:rFonts w:ascii="Times New Roman" w:hAnsi="Times New Roman"/>
      <w:b/>
      <w:sz w:val="28"/>
    </w:rPr>
  </w:style>
  <w:style w:type="character" w:customStyle="1" w:styleId="Underline">
    <w:name w:val="Underline"/>
    <w:basedOn w:val="DefaultParagraphFont"/>
    <w:qFormat/>
    <w:rsid w:val="008B6BC0"/>
    <w:rPr>
      <w:u w:val="single"/>
    </w:rPr>
  </w:style>
  <w:style w:type="character" w:customStyle="1" w:styleId="BoldandItalics">
    <w:name w:val="Bold and Italics"/>
    <w:qFormat/>
    <w:rsid w:val="008B6BC0"/>
    <w:rPr>
      <w:b/>
      <w:i/>
      <w:u w:val="none"/>
    </w:rPr>
  </w:style>
  <w:style w:type="paragraph" w:styleId="BalloonText">
    <w:name w:val="Balloon Text"/>
    <w:basedOn w:val="Normal"/>
    <w:link w:val="BalloonTextChar"/>
    <w:rsid w:val="008B6BC0"/>
    <w:rPr>
      <w:rFonts w:ascii="Tahoma" w:hAnsi="Tahoma" w:cs="Tahoma"/>
      <w:sz w:val="16"/>
      <w:szCs w:val="16"/>
    </w:rPr>
  </w:style>
  <w:style w:type="character" w:customStyle="1" w:styleId="BalloonTextChar">
    <w:name w:val="Balloon Text Char"/>
    <w:basedOn w:val="DefaultParagraphFont"/>
    <w:link w:val="BalloonText"/>
    <w:rsid w:val="008B6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BC0"/>
    <w:rPr>
      <w:b/>
      <w:color w:val="660033"/>
      <w:spacing w:val="0"/>
    </w:rPr>
  </w:style>
  <w:style w:type="paragraph" w:customStyle="1" w:styleId="Nameditemlist">
    <w:name w:val="Named item list"/>
    <w:basedOn w:val="BodyText"/>
    <w:qFormat/>
    <w:rsid w:val="008B6BC0"/>
    <w:pPr>
      <w:tabs>
        <w:tab w:val="left" w:pos="2835"/>
      </w:tabs>
      <w:ind w:left="2835" w:hanging="2835"/>
    </w:pPr>
  </w:style>
  <w:style w:type="paragraph" w:customStyle="1" w:styleId="BodyTextnopadding">
    <w:name w:val="Body Text no padding"/>
    <w:basedOn w:val="BodyText"/>
    <w:qFormat/>
    <w:rsid w:val="008B6BC0"/>
    <w:pPr>
      <w:spacing w:before="0" w:after="0"/>
    </w:pPr>
  </w:style>
  <w:style w:type="paragraph" w:customStyle="1" w:styleId="BodyTextBold">
    <w:name w:val="Body Text Bold"/>
    <w:basedOn w:val="BodyText"/>
    <w:qFormat/>
    <w:rsid w:val="008B6BC0"/>
    <w:rPr>
      <w:b/>
    </w:rPr>
  </w:style>
  <w:style w:type="character" w:styleId="Hyperlink">
    <w:name w:val="Hyperlink"/>
    <w:basedOn w:val="DefaultParagraphFont"/>
    <w:uiPriority w:val="99"/>
    <w:unhideWhenUsed/>
    <w:rsid w:val="00D96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9738</Characters>
  <Application>Microsoft Office Word</Application>
  <DocSecurity>0</DocSecurity>
  <Lines>374</Lines>
  <Paragraphs>228</Paragraphs>
  <ScaleCrop>false</ScaleCrop>
  <Company>Author-it Software Corporation Ltd.</Company>
  <LinksUpToDate>false</LinksUpToDate>
  <CharactersWithSpaces>10976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MEM20010 Gain entry and reinstate automotive locking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