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BEA" w:rsidP="00DD6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MEM20010 Gain entry and reinstate automotive locking systems</w:t>
      </w:r>
      <w:r>
        <w:fldChar w:fldCharType="end"/>
      </w:r>
    </w:p>
    <w:p w:rsidR="00DD6BEA" w:rsidP="00DD6BEA">
      <w:pPr>
        <w:pStyle w:val="Version"/>
        <w:sectPr w:rsidSect="00F05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916" w:rsidP="00F05916">
      <w:pPr>
        <w:pStyle w:val="SuperHeading"/>
      </w:pPr>
      <w:r w:rsidRPr="00F05916">
        <w:t>Assessment Requirements for MEM20010 Gain entry and reinstate automotive locking systems</w:t>
      </w:r>
    </w:p>
    <w:p w:rsidR="00000000" w:rsidRPr="00F05916" w:rsidP="00F05916">
      <w:pPr>
        <w:pStyle w:val="Heading1"/>
      </w:pPr>
      <w:bookmarkStart w:id="1" w:name="O_951023"/>
      <w:bookmarkEnd w:id="1"/>
      <w:r w:rsidRPr="00F05916">
        <w:t>Modification History</w:t>
      </w:r>
    </w:p>
    <w:p w:rsidR="00000000" w:rsidRPr="00F05916" w:rsidP="00DD6BEA">
      <w:pPr>
        <w:pStyle w:val="BodyText"/>
      </w:pPr>
      <w:r w:rsidRPr="00F05916">
        <w:t xml:space="preserve">Release 1. Supersedes and is equivalent to MEM20010A Gain entry and reinstate automotive locking systems </w:t>
      </w:r>
    </w:p>
    <w:p w:rsidR="00000000" w:rsidRPr="00F05916" w:rsidP="00F05916">
      <w:pPr>
        <w:pStyle w:val="Heading1"/>
      </w:pPr>
      <w:bookmarkStart w:id="2" w:name="O_951026"/>
      <w:bookmarkEnd w:id="2"/>
      <w:r w:rsidRPr="00F05916">
        <w:t>Performance Evidence</w:t>
      </w:r>
    </w:p>
    <w:p w:rsidR="00000000" w:rsidRPr="00F05916" w:rsidP="00DD6BEA">
      <w:pPr>
        <w:pStyle w:val="BodyText"/>
      </w:pPr>
      <w:r w:rsidRPr="00F05916">
        <w:t>Evidence required to demonstrate competence in this unit must be relevant to and satisfy the requirements of the elements and performance criteria on at least two (2) occasions and include:</w:t>
      </w:r>
    </w:p>
    <w:p w:rsidR="00000000" w:rsidRPr="00F05916" w:rsidP="00F05916">
      <w:pPr>
        <w:pStyle w:val="ListBullet"/>
      </w:pPr>
      <w:r w:rsidRPr="00F05916">
        <w:t>following work instructions, standard operat</w:t>
      </w:r>
      <w:r w:rsidRPr="00F05916">
        <w:t>ing procedures (SOPs) and safe work practices</w:t>
      </w:r>
    </w:p>
    <w:p w:rsidR="00000000" w:rsidRPr="00F05916" w:rsidP="00F05916">
      <w:pPr>
        <w:pStyle w:val="ListBullet"/>
      </w:pPr>
      <w:r w:rsidRPr="00F05916">
        <w:t xml:space="preserve">verifying authenticity of request in accordance with organisational and industry procedures </w:t>
      </w:r>
    </w:p>
    <w:p w:rsidR="00000000" w:rsidRPr="00F05916" w:rsidP="00F05916">
      <w:pPr>
        <w:pStyle w:val="ListBullet"/>
      </w:pPr>
      <w:r w:rsidRPr="00F05916">
        <w:t>communication with the customer as required throughout the entry and reinstatement process</w:t>
      </w:r>
    </w:p>
    <w:p w:rsidR="00000000" w:rsidRPr="00F05916" w:rsidP="00F05916">
      <w:pPr>
        <w:pStyle w:val="ListBullet"/>
      </w:pPr>
      <w:r w:rsidRPr="00F05916">
        <w:t>legislation, codes, regula</w:t>
      </w:r>
      <w:r w:rsidRPr="00F05916">
        <w:t>tions and standards applicable to gaining entry to vehicles</w:t>
      </w:r>
    </w:p>
    <w:p w:rsidR="00000000" w:rsidRPr="00F05916" w:rsidP="00F05916">
      <w:pPr>
        <w:pStyle w:val="ListBullet"/>
      </w:pPr>
      <w:r w:rsidRPr="00F05916">
        <w:t>interpreting information specific for gaining entry</w:t>
      </w:r>
    </w:p>
    <w:p w:rsidR="00000000" w:rsidRPr="00F05916" w:rsidP="00F05916">
      <w:pPr>
        <w:pStyle w:val="ListBullet"/>
      </w:pPr>
      <w:r w:rsidRPr="00F05916">
        <w:t xml:space="preserve">questioning, confirming and clarifying customer requirements </w:t>
      </w:r>
    </w:p>
    <w:p w:rsidR="00000000" w:rsidRPr="00F05916" w:rsidP="00F05916">
      <w:pPr>
        <w:pStyle w:val="ListBullet"/>
      </w:pPr>
      <w:r w:rsidRPr="00F05916">
        <w:t>identifying automotive locking components and checking function of locking systems</w:t>
      </w:r>
    </w:p>
    <w:p w:rsidR="00000000" w:rsidRPr="00F05916" w:rsidP="00F05916">
      <w:pPr>
        <w:pStyle w:val="ListBullet"/>
      </w:pPr>
      <w:r w:rsidRPr="00F05916">
        <w:t xml:space="preserve">tracing faults and selecting the appropriate entry method </w:t>
      </w:r>
    </w:p>
    <w:p w:rsidR="00000000" w:rsidRPr="00F05916" w:rsidP="00F05916">
      <w:pPr>
        <w:pStyle w:val="ListBullet"/>
      </w:pPr>
      <w:r w:rsidRPr="00F05916">
        <w:t xml:space="preserve">gaining entry using appropriate tools and equipment </w:t>
      </w:r>
    </w:p>
    <w:p w:rsidR="00000000" w:rsidRPr="00F05916" w:rsidP="00F05916">
      <w:pPr>
        <w:pStyle w:val="ListBullet"/>
      </w:pPr>
      <w:r w:rsidRPr="00F05916">
        <w:t>identifying actual and potential risks and hazards and implementing control measures</w:t>
      </w:r>
    </w:p>
    <w:p w:rsidR="00000000" w:rsidRPr="00F05916" w:rsidP="00F05916">
      <w:pPr>
        <w:pStyle w:val="ListBullet"/>
      </w:pPr>
      <w:r w:rsidRPr="00F05916">
        <w:t xml:space="preserve">disassembling/reassembling lock assemblies and components </w:t>
      </w:r>
      <w:r w:rsidRPr="00F05916">
        <w:t xml:space="preserve">and selecting materials and consumables </w:t>
      </w:r>
    </w:p>
    <w:p w:rsidR="00000000" w:rsidRPr="00F05916" w:rsidP="00F05916">
      <w:pPr>
        <w:pStyle w:val="ListBullet"/>
      </w:pPr>
      <w:r w:rsidRPr="00F05916">
        <w:t>applying appropriate techniques to reinstate locking components and system</w:t>
      </w:r>
    </w:p>
    <w:p w:rsidR="00000000" w:rsidRPr="00F05916" w:rsidP="00F05916">
      <w:pPr>
        <w:pStyle w:val="ListBullet"/>
      </w:pPr>
      <w:r w:rsidRPr="00F05916">
        <w:t>testing and adjusting locking system to confirm operation</w:t>
      </w:r>
    </w:p>
    <w:p w:rsidR="00000000" w:rsidRPr="00F05916" w:rsidP="00F05916">
      <w:pPr>
        <w:pStyle w:val="ListBullet"/>
      </w:pPr>
      <w:r w:rsidRPr="00F05916">
        <w:t>cleaning vehicle in accordance with original presentation, client requirements, in</w:t>
      </w:r>
      <w:r w:rsidRPr="00F05916">
        <w:t xml:space="preserve">dustry standards and SOPs </w:t>
      </w:r>
    </w:p>
    <w:p w:rsidR="00000000" w:rsidRPr="00F05916" w:rsidP="00F05916">
      <w:pPr>
        <w:pStyle w:val="ListBullet"/>
      </w:pPr>
      <w:r w:rsidRPr="00F05916">
        <w:t>completing all documentation in accordance with SOPs.</w:t>
      </w:r>
    </w:p>
    <w:p w:rsidR="00000000" w:rsidRPr="00F05916" w:rsidP="00F05916">
      <w:pPr>
        <w:pStyle w:val="AllowPageBreak"/>
      </w:pPr>
    </w:p>
    <w:p w:rsidR="00000000" w:rsidRPr="00F05916" w:rsidP="00F05916">
      <w:pPr>
        <w:pStyle w:val="Heading1"/>
      </w:pPr>
      <w:bookmarkStart w:id="3" w:name="O_951025"/>
      <w:bookmarkEnd w:id="3"/>
      <w:r w:rsidRPr="00F05916">
        <w:t>Knowledge Evidence</w:t>
      </w:r>
    </w:p>
    <w:p w:rsidR="00000000" w:rsidRPr="00F05916" w:rsidP="00DD6BEA">
      <w:pPr>
        <w:pStyle w:val="BodyText"/>
      </w:pPr>
      <w:r w:rsidRPr="00F05916">
        <w:t>Evidence requ</w:t>
      </w:r>
      <w:r w:rsidRPr="00F05916">
        <w:t>ired to demonstrate the required knowledge for this unit must be relevant to and satisfy the requirements of the elements and performance criteria and include knowledge of:</w:t>
      </w:r>
    </w:p>
    <w:p w:rsidR="00000000" w:rsidRPr="00F05916" w:rsidP="00F05916">
      <w:pPr>
        <w:pStyle w:val="ListBullet"/>
      </w:pPr>
      <w:r w:rsidRPr="00F05916">
        <w:t>safe work practices and procedures and use of personal protective equipment (PPE)</w:t>
      </w:r>
    </w:p>
    <w:p w:rsidR="00000000" w:rsidRPr="00F05916" w:rsidP="00F05916">
      <w:pPr>
        <w:pStyle w:val="ListBullet"/>
      </w:pPr>
      <w:r w:rsidRPr="00F05916">
        <w:t xml:space="preserve">legislation, codes, regulations and standards applicable to gaining entry and reinstatement of automotive locking systems </w:t>
      </w:r>
    </w:p>
    <w:p w:rsidR="00000000" w:rsidRPr="00F05916" w:rsidP="00F05916">
      <w:pPr>
        <w:pStyle w:val="ListBullet"/>
      </w:pPr>
      <w:r w:rsidRPr="00F05916">
        <w:t>types of vehicle locking systems - mechanical and electronic</w:t>
      </w:r>
    </w:p>
    <w:p w:rsidR="00000000" w:rsidRPr="00F05916" w:rsidP="00F05916">
      <w:pPr>
        <w:pStyle w:val="ListBullet"/>
      </w:pPr>
      <w:r w:rsidRPr="00F05916">
        <w:t>attachment methods for window winders, internal handles, snibs, trims, c</w:t>
      </w:r>
      <w:r w:rsidRPr="00F05916">
        <w:t>ylinders, locks and external handles</w:t>
      </w:r>
    </w:p>
    <w:p w:rsidR="00000000" w:rsidRPr="00F05916" w:rsidP="00F05916">
      <w:pPr>
        <w:pStyle w:val="ListBullet"/>
      </w:pPr>
      <w:r w:rsidRPr="00F05916">
        <w:t>release positions of ignition lock, air bag, front and side and appropriate safety procedures</w:t>
      </w:r>
    </w:p>
    <w:p w:rsidR="00000000" w:rsidRPr="00F05916" w:rsidP="00F05916">
      <w:pPr>
        <w:pStyle w:val="ListBullet"/>
      </w:pPr>
      <w:r w:rsidRPr="00F05916">
        <w:t>break-off bolts, removal and replacement</w:t>
      </w:r>
    </w:p>
    <w:p w:rsidR="00000000" w:rsidRPr="00F05916" w:rsidP="00F05916">
      <w:pPr>
        <w:pStyle w:val="ListBullet"/>
      </w:pPr>
      <w:r w:rsidRPr="00F05916">
        <w:t>window winders and door trims</w:t>
      </w:r>
    </w:p>
    <w:p w:rsidR="00000000" w:rsidRPr="00F05916" w:rsidP="00F05916">
      <w:pPr>
        <w:pStyle w:val="ListBullet"/>
      </w:pPr>
      <w:r w:rsidRPr="00F05916">
        <w:t>door lock retainers</w:t>
      </w:r>
    </w:p>
    <w:p w:rsidR="00000000" w:rsidRPr="00F05916" w:rsidP="00F05916">
      <w:pPr>
        <w:pStyle w:val="ListBullet"/>
      </w:pPr>
      <w:r w:rsidRPr="00F05916">
        <w:t>central locking</w:t>
      </w:r>
    </w:p>
    <w:p w:rsidR="00000000" w:rsidRPr="00F05916" w:rsidP="00F05916">
      <w:pPr>
        <w:pStyle w:val="ListBullet"/>
      </w:pPr>
      <w:r w:rsidRPr="00F05916">
        <w:t>linkages, cables a</w:t>
      </w:r>
      <w:r w:rsidRPr="00F05916">
        <w:t>nd springs</w:t>
      </w:r>
    </w:p>
    <w:p w:rsidR="00000000" w:rsidRPr="00F05916" w:rsidP="00F05916">
      <w:pPr>
        <w:pStyle w:val="ListBullet"/>
      </w:pPr>
      <w:r w:rsidRPr="00F05916">
        <w:t>techniques for disassembling, reassembling and reinstating locking systems to return to operation</w:t>
      </w:r>
    </w:p>
    <w:p w:rsidR="00000000" w:rsidRPr="00F05916" w:rsidP="00F05916">
      <w:pPr>
        <w:pStyle w:val="ListBullet"/>
      </w:pPr>
      <w:r w:rsidRPr="00F05916">
        <w:t xml:space="preserve">techniques for disassembling, reassembling and reinstating locking window winders and door trims including associated wiring </w:t>
      </w:r>
    </w:p>
    <w:p w:rsidR="00000000" w:rsidRPr="00F05916" w:rsidP="00F05916">
      <w:pPr>
        <w:pStyle w:val="ListBullet"/>
      </w:pPr>
      <w:r w:rsidRPr="00F05916">
        <w:t>automotive security e</w:t>
      </w:r>
      <w:r w:rsidRPr="00F05916">
        <w:t xml:space="preserve">lectronics, alarms and ignition immobilisers </w:t>
      </w:r>
    </w:p>
    <w:p w:rsidR="00000000" w:rsidRPr="00F05916" w:rsidP="00F05916">
      <w:pPr>
        <w:pStyle w:val="ListBullet"/>
      </w:pPr>
      <w:r w:rsidRPr="00F05916">
        <w:t>hazards and control measures associated with gaining entry to automotive locking systems.</w:t>
      </w:r>
    </w:p>
    <w:p w:rsidR="00000000" w:rsidRPr="00F05916" w:rsidP="00F05916">
      <w:pPr>
        <w:pStyle w:val="AllowPageBreak"/>
      </w:pPr>
    </w:p>
    <w:p w:rsidR="00000000" w:rsidRPr="00F05916" w:rsidP="00F05916">
      <w:pPr>
        <w:pStyle w:val="Heading1"/>
      </w:pPr>
      <w:bookmarkStart w:id="4" w:name="O_951024"/>
      <w:bookmarkEnd w:id="4"/>
      <w:r w:rsidRPr="00F05916">
        <w:t>Assessment Conditions</w:t>
      </w:r>
    </w:p>
    <w:p w:rsidR="00000000" w:rsidRPr="00F05916" w:rsidP="00F05916">
      <w:pPr>
        <w:pStyle w:val="ListBullet"/>
      </w:pPr>
      <w:r w:rsidRPr="00F05916">
        <w:t>Assessors must:</w:t>
      </w:r>
    </w:p>
    <w:p w:rsidR="00000000" w:rsidRPr="00F05916" w:rsidP="00F05916">
      <w:pPr>
        <w:pStyle w:val="ListBullet2"/>
      </w:pPr>
      <w:r w:rsidRPr="00F05916">
        <w:t>have vocational competency in gaining entry and reinstating aut</w:t>
      </w:r>
      <w:r w:rsidRPr="00F05916">
        <w:t>omotive locking systems at least to the level being assessed with relevant industry knowledge and experience</w:t>
      </w:r>
    </w:p>
    <w:p w:rsidR="00000000" w:rsidRPr="00F05916" w:rsidP="00F05916">
      <w:pPr>
        <w:pStyle w:val="ListBullet2"/>
      </w:pPr>
      <w:r w:rsidRPr="00F05916">
        <w:t xml:space="preserve">satisfy the assessor requirements in the </w:t>
      </w:r>
      <w:r w:rsidRPr="00F05916">
        <w:rPr>
          <w:rStyle w:val="Emphasis"/>
        </w:rPr>
        <w:t xml:space="preserve">Standards for Registered Training Organisations 2015 </w:t>
      </w:r>
      <w:r w:rsidRPr="00F05916">
        <w:t>or its replacement</w:t>
      </w:r>
      <w:r w:rsidRPr="00F05916">
        <w:rPr>
          <w:rStyle w:val="Emphasis"/>
        </w:rPr>
        <w:t xml:space="preserve"> </w:t>
      </w:r>
      <w:r w:rsidRPr="00F05916">
        <w:t xml:space="preserve">and comply with the </w:t>
      </w:r>
      <w:r w:rsidRPr="00F05916">
        <w:rPr>
          <w:rStyle w:val="Emphasis"/>
        </w:rPr>
        <w:t xml:space="preserve">National Vocational Education and Training Regulator Act 2011, </w:t>
      </w:r>
      <w:r w:rsidRPr="00F05916">
        <w:t>its replacement</w:t>
      </w:r>
      <w:r w:rsidRPr="00F05916">
        <w:rPr>
          <w:rStyle w:val="Emphasis"/>
        </w:rPr>
        <w:t xml:space="preserve"> </w:t>
      </w:r>
      <w:r w:rsidRPr="00F05916">
        <w:t>or equivalent legislation covering VET regulation in a non-referring state/territory as the case requires</w:t>
      </w:r>
    </w:p>
    <w:p w:rsidR="00000000" w:rsidRPr="00F05916" w:rsidP="00F05916">
      <w:pPr>
        <w:pStyle w:val="ListBullet"/>
      </w:pPr>
      <w:r w:rsidRPr="00F05916">
        <w:t>Where possible assessment must occur in operational workplace situatio</w:t>
      </w:r>
      <w:r w:rsidRPr="00F05916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F05916">
        <w:t xml:space="preserve">ts of workplace performance, including environment, task skills, task management skills, contingency management skills and job role environment skills </w:t>
      </w:r>
    </w:p>
    <w:p w:rsidR="00000000" w:rsidRPr="00F05916" w:rsidP="00F05916">
      <w:pPr>
        <w:pStyle w:val="ListBullet"/>
      </w:pPr>
      <w:r w:rsidRPr="00F05916">
        <w:t>Conditions for assessment must include access to all tools, equipment, materials and documentation requi</w:t>
      </w:r>
      <w:r w:rsidRPr="00F05916">
        <w:t>red, including relevant workplace procedures, product and manufacturing specifications</w:t>
      </w:r>
    </w:p>
    <w:p w:rsidR="00000000" w:rsidRPr="00F05916" w:rsidP="00F05916">
      <w:pPr>
        <w:pStyle w:val="ListBullet"/>
      </w:pPr>
      <w:r w:rsidRPr="00F05916">
        <w:t>Assessment processes and techniques must be appropriate to the language, literacy and numeracy requirements of the work being performed and the needs of the candidate.</w:t>
      </w:r>
    </w:p>
    <w:p w:rsidR="00000000" w:rsidRPr="00F05916" w:rsidP="00F05916">
      <w:pPr>
        <w:pStyle w:val="AllowPageBreak"/>
      </w:pPr>
    </w:p>
    <w:p w:rsidR="00000000" w:rsidRPr="00F05916" w:rsidP="00F05916">
      <w:pPr>
        <w:pStyle w:val="Heading1"/>
      </w:pPr>
      <w:bookmarkStart w:id="5" w:name="O_951022"/>
      <w:bookmarkEnd w:id="5"/>
      <w:r w:rsidRPr="00F05916">
        <w:t>Links</w:t>
      </w:r>
    </w:p>
    <w:p w:rsidR="00000000" w:rsidRPr="00F05916" w:rsidP="00DD6BEA">
      <w:pPr>
        <w:pStyle w:val="BodyText"/>
      </w:pPr>
      <w:r w:rsidRPr="00F059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2671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5916" w:rsidP="00F05916"/>
    <w:sectPr w:rsidSect="00F059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916" w:rsidRPr="00DD6BEA" w:rsidP="00DD6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EA" w:rsidP="00F05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6BEA" w:rsidP="00F05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6BEA" w:rsidP="00F05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916" w:rsidRPr="00DD6BEA" w:rsidP="00DD6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BEA" w:rsidRPr="002D2AF8" w:rsidP="00F05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MEM20010 Gain entry and reinstate automotive 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DD6BEA" w:rsidP="00F05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2868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EA9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3E5A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916"/>
  </w:style>
  <w:style w:type="character" w:customStyle="1" w:styleId="Heading1Char">
    <w:name w:val="Heading 1 Char"/>
    <w:basedOn w:val="DefaultParagraphFont"/>
    <w:link w:val="Heading1"/>
    <w:rsid w:val="00F05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9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59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5916"/>
    <w:rPr>
      <w:i/>
    </w:rPr>
  </w:style>
  <w:style w:type="paragraph" w:customStyle="1" w:styleId="SuperHeading">
    <w:name w:val="SuperHeading"/>
    <w:basedOn w:val="Normal"/>
    <w:rsid w:val="00F05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5916"/>
    <w:rPr>
      <w:b/>
      <w:spacing w:val="0"/>
    </w:rPr>
  </w:style>
  <w:style w:type="paragraph" w:customStyle="1" w:styleId="SuperTitle">
    <w:name w:val="SuperTitle"/>
    <w:basedOn w:val="Title"/>
    <w:rsid w:val="00F05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5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9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916"/>
  </w:style>
  <w:style w:type="paragraph" w:styleId="TableofFigures">
    <w:name w:val="table of figures"/>
    <w:basedOn w:val="Normal"/>
    <w:next w:val="Normal"/>
    <w:semiHidden/>
    <w:rsid w:val="00F05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9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5916"/>
    <w:rPr>
      <w:rFonts w:ascii="Wingdings" w:hAnsi="Wingdings"/>
    </w:rPr>
  </w:style>
  <w:style w:type="paragraph" w:customStyle="1" w:styleId="TableHeading">
    <w:name w:val="Table Heading"/>
    <w:basedOn w:val="HeadingBase"/>
    <w:rsid w:val="00F05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916"/>
    <w:rPr>
      <w:color w:val="0033CC"/>
      <w:u w:val="none"/>
    </w:rPr>
  </w:style>
  <w:style w:type="paragraph" w:customStyle="1" w:styleId="BodyTextRight">
    <w:name w:val="Body Text Right"/>
    <w:basedOn w:val="BodyText"/>
    <w:rsid w:val="00F05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9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916"/>
    <w:rPr>
      <w:sz w:val="32"/>
    </w:rPr>
  </w:style>
  <w:style w:type="paragraph" w:customStyle="1" w:styleId="HeadingProcedure">
    <w:name w:val="Heading Procedure"/>
    <w:basedOn w:val="HeadingBase"/>
    <w:next w:val="Normal"/>
    <w:rsid w:val="00F05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916"/>
    <w:pPr>
      <w:spacing w:before="60" w:after="60"/>
    </w:pPr>
  </w:style>
  <w:style w:type="paragraph" w:styleId="ListContinue">
    <w:name w:val="List Continue"/>
    <w:basedOn w:val="List"/>
    <w:rsid w:val="00F05916"/>
    <w:pPr>
      <w:ind w:firstLine="0"/>
    </w:pPr>
  </w:style>
  <w:style w:type="paragraph" w:customStyle="1" w:styleId="ListNote">
    <w:name w:val="List Note"/>
    <w:basedOn w:val="List"/>
    <w:rsid w:val="00F05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916"/>
    <w:rPr>
      <w:rFonts w:ascii="Courier New" w:hAnsi="Courier New"/>
    </w:rPr>
  </w:style>
  <w:style w:type="paragraph" w:customStyle="1" w:styleId="NoteBullet">
    <w:name w:val="Note Bullet"/>
    <w:basedOn w:val="Note"/>
    <w:rsid w:val="00F05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9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5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916"/>
    <w:rPr>
      <w:b/>
      <w:smallCaps/>
    </w:rPr>
  </w:style>
  <w:style w:type="paragraph" w:customStyle="1" w:styleId="TableListNumber">
    <w:name w:val="Table List Number"/>
    <w:basedOn w:val="ListNumber"/>
    <w:rsid w:val="00F05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916"/>
    <w:pPr>
      <w:numPr>
        <w:numId w:val="9"/>
      </w:numPr>
    </w:pPr>
  </w:style>
  <w:style w:type="paragraph" w:customStyle="1" w:styleId="ListAlpha2">
    <w:name w:val="List Alpha 2"/>
    <w:basedOn w:val="List2"/>
    <w:rsid w:val="00F05916"/>
    <w:pPr>
      <w:numPr>
        <w:numId w:val="8"/>
      </w:numPr>
    </w:pPr>
  </w:style>
  <w:style w:type="paragraph" w:styleId="List2">
    <w:name w:val="List 2"/>
    <w:basedOn w:val="BodyText"/>
    <w:rsid w:val="00F05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9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9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5916"/>
    <w:pPr>
      <w:numPr>
        <w:numId w:val="4"/>
      </w:numPr>
    </w:pPr>
  </w:style>
  <w:style w:type="paragraph" w:styleId="ListContinue2">
    <w:name w:val="List Continue 2"/>
    <w:basedOn w:val="List2"/>
    <w:rsid w:val="00F05916"/>
    <w:pPr>
      <w:ind w:firstLine="0"/>
    </w:pPr>
  </w:style>
  <w:style w:type="paragraph" w:styleId="ListContinue3">
    <w:name w:val="List Continue 3"/>
    <w:basedOn w:val="List3"/>
    <w:rsid w:val="00F05916"/>
    <w:pPr>
      <w:ind w:left="1021" w:firstLine="0"/>
    </w:pPr>
  </w:style>
  <w:style w:type="paragraph" w:styleId="ListContinue4">
    <w:name w:val="List Continue 4"/>
    <w:basedOn w:val="List4"/>
    <w:rsid w:val="00F05916"/>
    <w:pPr>
      <w:ind w:firstLine="0"/>
    </w:pPr>
  </w:style>
  <w:style w:type="paragraph" w:styleId="ListContinue5">
    <w:name w:val="List Continue 5"/>
    <w:basedOn w:val="List5"/>
    <w:rsid w:val="00F05916"/>
    <w:pPr>
      <w:ind w:firstLine="0"/>
    </w:pPr>
  </w:style>
  <w:style w:type="paragraph" w:styleId="ListNumber3">
    <w:name w:val="List Number 3"/>
    <w:basedOn w:val="List3"/>
    <w:rsid w:val="00F05916"/>
    <w:pPr>
      <w:numPr>
        <w:numId w:val="5"/>
      </w:numPr>
    </w:pPr>
  </w:style>
  <w:style w:type="paragraph" w:styleId="ListNumber4">
    <w:name w:val="List Number 4"/>
    <w:basedOn w:val="List4"/>
    <w:rsid w:val="00F05916"/>
    <w:pPr>
      <w:numPr>
        <w:numId w:val="6"/>
      </w:numPr>
    </w:pPr>
  </w:style>
  <w:style w:type="paragraph" w:styleId="ListNumber5">
    <w:name w:val="List Number 5"/>
    <w:basedOn w:val="List5"/>
    <w:rsid w:val="00F05916"/>
    <w:pPr>
      <w:numPr>
        <w:numId w:val="7"/>
      </w:numPr>
    </w:pPr>
  </w:style>
  <w:style w:type="paragraph" w:styleId="BlockText">
    <w:name w:val="Block Text"/>
    <w:basedOn w:val="Normal"/>
    <w:rsid w:val="00F05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916"/>
    <w:rPr>
      <w:sz w:val="16"/>
      <w:vertAlign w:val="superscript"/>
    </w:rPr>
  </w:style>
  <w:style w:type="character" w:customStyle="1" w:styleId="Symbols">
    <w:name w:val="Symbols"/>
    <w:basedOn w:val="DefaultParagraphFont"/>
    <w:rsid w:val="00F05916"/>
    <w:rPr>
      <w:rFonts w:ascii="Symbol" w:hAnsi="Symbol"/>
    </w:rPr>
  </w:style>
  <w:style w:type="character" w:customStyle="1" w:styleId="MenuOptions">
    <w:name w:val="Menu Options"/>
    <w:basedOn w:val="DefaultParagraphFont"/>
    <w:rsid w:val="00F05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916"/>
    <w:rPr>
      <w:b/>
    </w:rPr>
  </w:style>
  <w:style w:type="character" w:customStyle="1" w:styleId="Underlined">
    <w:name w:val="Underlined"/>
    <w:basedOn w:val="DefaultParagraphFont"/>
    <w:rsid w:val="00F05916"/>
    <w:rPr>
      <w:u w:val="single"/>
    </w:rPr>
  </w:style>
  <w:style w:type="paragraph" w:customStyle="1" w:styleId="TableBodyTextRight">
    <w:name w:val="Table Body Text Right"/>
    <w:basedOn w:val="TableBodyText"/>
    <w:rsid w:val="00F05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916"/>
    <w:rPr>
      <w:sz w:val="18"/>
    </w:rPr>
  </w:style>
  <w:style w:type="paragraph" w:customStyle="1" w:styleId="BodySmallRight">
    <w:name w:val="Body Small Right"/>
    <w:basedOn w:val="BodyTextRight"/>
    <w:rsid w:val="00F05916"/>
    <w:rPr>
      <w:sz w:val="18"/>
      <w:szCs w:val="18"/>
    </w:rPr>
  </w:style>
  <w:style w:type="paragraph" w:customStyle="1" w:styleId="MarginEdition">
    <w:name w:val="Margin Edition"/>
    <w:basedOn w:val="MarginNote"/>
    <w:rsid w:val="00F05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916"/>
    <w:rPr>
      <w:sz w:val="2"/>
      <w:szCs w:val="2"/>
    </w:rPr>
  </w:style>
  <w:style w:type="character" w:customStyle="1" w:styleId="Small">
    <w:name w:val="Small"/>
    <w:basedOn w:val="DefaultParagraphFont"/>
    <w:rsid w:val="00F05916"/>
    <w:rPr>
      <w:sz w:val="16"/>
    </w:rPr>
  </w:style>
  <w:style w:type="paragraph" w:customStyle="1" w:styleId="WideTable">
    <w:name w:val="Wide Table"/>
    <w:basedOn w:val="Normal"/>
    <w:rsid w:val="00F05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916"/>
  </w:style>
  <w:style w:type="paragraph" w:styleId="Quote">
    <w:name w:val="Quote"/>
    <w:basedOn w:val="Heading1"/>
    <w:link w:val="QuoteChar"/>
    <w:qFormat/>
    <w:rsid w:val="00F05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916"/>
    <w:pPr>
      <w:pageBreakBefore/>
    </w:pPr>
  </w:style>
  <w:style w:type="paragraph" w:customStyle="1" w:styleId="Border">
    <w:name w:val="Border"/>
    <w:basedOn w:val="Normal"/>
    <w:qFormat/>
    <w:rsid w:val="00F05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916"/>
    <w:rPr>
      <w:u w:val="single"/>
    </w:rPr>
  </w:style>
  <w:style w:type="character" w:customStyle="1" w:styleId="BoldandItalics">
    <w:name w:val="Bold and Italics"/>
    <w:qFormat/>
    <w:rsid w:val="00F05916"/>
    <w:rPr>
      <w:b/>
      <w:i/>
      <w:u w:val="none"/>
    </w:rPr>
  </w:style>
  <w:style w:type="paragraph" w:styleId="BalloonText">
    <w:name w:val="Balloon Text"/>
    <w:basedOn w:val="Normal"/>
    <w:link w:val="BalloonTextChar"/>
    <w:rsid w:val="00F05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916"/>
    <w:pPr>
      <w:spacing w:before="0" w:after="0"/>
    </w:pPr>
  </w:style>
  <w:style w:type="paragraph" w:customStyle="1" w:styleId="BodyTextBold">
    <w:name w:val="Body Text Bold"/>
    <w:basedOn w:val="BodyText"/>
    <w:qFormat/>
    <w:rsid w:val="00F05916"/>
    <w:rPr>
      <w:b/>
    </w:rPr>
  </w:style>
  <w:style w:type="character" w:styleId="Hyperlink">
    <w:name w:val="Hyperlink"/>
    <w:basedOn w:val="DefaultParagraphFont"/>
    <w:uiPriority w:val="99"/>
    <w:unhideWhenUsed/>
    <w:rsid w:val="00DD6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3976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MEM20010 Gain entry and reinstate automotive locking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2021-03-31T03:22:00Z</dcterms:created>
  <dcterms:modified xsi:type="dcterms:W3CDTF">2021-03-31T03:22:00Z</dcterms:modified>
</cp:coreProperties>
</file>