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DEC" w:rsidP="00503DEC">
      <w:pPr>
        <w:pStyle w:val="Title"/>
      </w:pPr>
      <w:r>
        <w:fldChar w:fldCharType="begin"/>
      </w:r>
      <w:r>
        <w:instrText xml:space="preserve"> TITLE   \* MERGEFORMAT </w:instrText>
      </w:r>
      <w:r>
        <w:fldChar w:fldCharType="separate"/>
      </w:r>
      <w:r>
        <w:t>MEM20009 Gain entry and reinstate fire and security containers</w:t>
      </w:r>
      <w:r>
        <w:fldChar w:fldCharType="end"/>
      </w:r>
    </w:p>
    <w:p w:rsidR="00503DEC" w:rsidP="00503DEC">
      <w:pPr>
        <w:pStyle w:val="Version"/>
        <w:sectPr w:rsidSect="00060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0D6" w:rsidP="000600D6">
      <w:pPr>
        <w:pStyle w:val="SuperHeading"/>
      </w:pPr>
      <w:r w:rsidRPr="000600D6">
        <w:t>MEM20009 Gain entry and reinstate fire and security containers</w:t>
      </w:r>
    </w:p>
    <w:p w:rsidR="00000000" w:rsidRPr="000600D6" w:rsidP="000600D6">
      <w:pPr>
        <w:pStyle w:val="Heading1"/>
      </w:pPr>
      <w:bookmarkStart w:id="1" w:name="O_951008"/>
      <w:bookmarkEnd w:id="1"/>
      <w:r w:rsidRPr="000600D6">
        <w:t>Modification History</w:t>
      </w:r>
    </w:p>
    <w:p w:rsidR="00000000" w:rsidRPr="000600D6" w:rsidP="00503DEC">
      <w:pPr>
        <w:pStyle w:val="BodyText"/>
      </w:pPr>
      <w:r w:rsidRPr="000600D6">
        <w:t>Release 1. Supersedes and is equivalent to MEM20009A Gain entry and reinstate fire and security containers</w:t>
      </w:r>
    </w:p>
    <w:p w:rsidR="00000000" w:rsidRPr="000600D6" w:rsidP="000600D6">
      <w:pPr>
        <w:pStyle w:val="Heading1"/>
      </w:pPr>
      <w:bookmarkStart w:id="2" w:name="O_951016"/>
      <w:bookmarkEnd w:id="2"/>
      <w:r w:rsidRPr="000600D6">
        <w:t>Application</w:t>
      </w:r>
    </w:p>
    <w:p w:rsidR="00000000" w:rsidRPr="000600D6" w:rsidP="00503DEC">
      <w:pPr>
        <w:pStyle w:val="BodyText"/>
      </w:pPr>
      <w:r w:rsidRPr="000600D6">
        <w:t>This</w:t>
      </w:r>
      <w:r w:rsidRPr="000600D6">
        <w:t xml:space="preserve"> unit of competency defines the skills and knowledge required to gain entry to fire and security containers that are fitted with mechanical and electronic safe locking systems. It covers straightforward reinstatement of the locking system by removal and re</w:t>
      </w:r>
      <w:r w:rsidRPr="000600D6">
        <w:t xml:space="preserve">placement of component parts. Containers may be used for commercial or domestic use. </w:t>
      </w:r>
    </w:p>
    <w:p w:rsidR="00000000" w:rsidRPr="000600D6" w:rsidP="00503DEC">
      <w:pPr>
        <w:pStyle w:val="BodyText"/>
      </w:pPr>
      <w:r w:rsidRPr="000600D6">
        <w:t>Where welding skills are required then see the appropriate units.</w:t>
      </w:r>
    </w:p>
    <w:p w:rsidR="00000000" w:rsidRPr="000600D6" w:rsidP="00503DEC">
      <w:pPr>
        <w:pStyle w:val="BodyText"/>
      </w:pPr>
      <w:r w:rsidRPr="000600D6">
        <w:t>Where the use of fuel gas cutting equipment is required, unit MEM05007 Perform manual heating and ther</w:t>
      </w:r>
      <w:r w:rsidRPr="000600D6">
        <w:t>mal cutting should also be selected.</w:t>
      </w:r>
    </w:p>
    <w:p w:rsidR="00000000" w:rsidRPr="000600D6" w:rsidP="00503DEC">
      <w:pPr>
        <w:pStyle w:val="BodyText"/>
      </w:pPr>
      <w:r w:rsidRPr="000600D6">
        <w:t>Where repairs to fire and security containers are required see unit MEM20011 Service and repair fire and security containers.</w:t>
      </w:r>
    </w:p>
    <w:p w:rsidR="00000000" w:rsidRPr="000600D6" w:rsidP="00503DEC">
      <w:pPr>
        <w:pStyle w:val="BodyText"/>
      </w:pPr>
      <w:r w:rsidRPr="000600D6">
        <w:t>No licensing, legislative or certification requirements apply to this unit at the time of p</w:t>
      </w:r>
      <w:r w:rsidRPr="000600D6">
        <w:t xml:space="preserve">ublication. </w:t>
      </w:r>
    </w:p>
    <w:p w:rsidR="00000000" w:rsidRPr="000600D6" w:rsidP="000600D6">
      <w:pPr>
        <w:pStyle w:val="BodyText"/>
      </w:pPr>
      <w:r w:rsidRPr="000600D6">
        <w:rPr>
          <w:rStyle w:val="SpecialBold"/>
        </w:rPr>
        <w:t>Band</w:t>
      </w:r>
      <w:r w:rsidRPr="000600D6">
        <w:t>:</w:t>
      </w:r>
      <w:r w:rsidRPr="000600D6">
        <w:tab/>
      </w:r>
      <w:r w:rsidRPr="000600D6">
        <w:rPr>
          <w:rStyle w:val="SpecialBold"/>
        </w:rPr>
        <w:t>A</w:t>
      </w:r>
    </w:p>
    <w:p w:rsidR="00000000" w:rsidRPr="000600D6" w:rsidP="000600D6">
      <w:pPr>
        <w:pStyle w:val="BodyText"/>
      </w:pPr>
      <w:r w:rsidRPr="000600D6">
        <w:rPr>
          <w:rStyle w:val="SpecialBold"/>
        </w:rPr>
        <w:t>Unit Weight</w:t>
      </w:r>
      <w:r w:rsidRPr="000600D6">
        <w:t>:</w:t>
      </w:r>
      <w:r w:rsidRPr="000600D6">
        <w:tab/>
      </w:r>
      <w:r w:rsidRPr="000600D6">
        <w:rPr>
          <w:rStyle w:val="SpecialBold"/>
        </w:rPr>
        <w:t>4</w:t>
      </w:r>
    </w:p>
    <w:p w:rsidR="00000000" w:rsidRPr="000600D6" w:rsidP="000600D6">
      <w:pPr>
        <w:pStyle w:val="AllowPageBreak"/>
      </w:pPr>
    </w:p>
    <w:p w:rsidR="00000000" w:rsidRPr="000600D6" w:rsidP="000600D6">
      <w:pPr>
        <w:pStyle w:val="Heading1"/>
      </w:pPr>
      <w:bookmarkStart w:id="3" w:name="O_951015"/>
      <w:bookmarkEnd w:id="3"/>
      <w:r w:rsidRPr="000600D6">
        <w:t>Pre-requisite Unit</w:t>
      </w:r>
    </w:p>
    <w:tbl>
      <w:tblPr>
        <w:tblW w:w="0" w:type="auto"/>
        <w:tblLayout w:type="fixed"/>
        <w:tblCellMar>
          <w:left w:w="62" w:type="dxa"/>
          <w:right w:w="62" w:type="dxa"/>
        </w:tblCellMar>
        <w:tblLook w:val="0000"/>
      </w:tblPr>
      <w:tblGrid>
        <w:gridCol w:w="2186"/>
        <w:gridCol w:w="6886"/>
      </w:tblGrid>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MEM11011</w:t>
            </w:r>
          </w:p>
        </w:tc>
        <w:tc>
          <w:tcPr>
            <w:tcW w:w="68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Undertake manual handling</w:t>
            </w:r>
          </w:p>
        </w:tc>
      </w:tr>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MEM13015</w:t>
            </w:r>
          </w:p>
        </w:tc>
        <w:tc>
          <w:tcPr>
            <w:tcW w:w="68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Work safely and effectively in manufacturing and engineering</w:t>
            </w:r>
          </w:p>
        </w:tc>
      </w:tr>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MEM16006</w:t>
            </w:r>
          </w:p>
        </w:tc>
        <w:tc>
          <w:tcPr>
            <w:tcW w:w="68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Organise and communicate information</w:t>
            </w:r>
          </w:p>
        </w:tc>
      </w:tr>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MEM18001</w:t>
            </w:r>
          </w:p>
        </w:tc>
        <w:tc>
          <w:tcPr>
            <w:tcW w:w="68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Use hand tools</w:t>
            </w:r>
          </w:p>
        </w:tc>
      </w:tr>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MEM18002</w:t>
            </w:r>
          </w:p>
        </w:tc>
        <w:tc>
          <w:tcPr>
            <w:tcW w:w="68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Use power tools/hand held operations</w:t>
            </w:r>
          </w:p>
        </w:tc>
      </w:tr>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MEM20001</w:t>
            </w:r>
          </w:p>
        </w:tc>
        <w:tc>
          <w:tcPr>
            <w:tcW w:w="68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Produce keys</w:t>
            </w:r>
          </w:p>
        </w:tc>
      </w:tr>
      <w:tr w:rsidTr="000600D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MEM20004</w:t>
            </w:r>
          </w:p>
        </w:tc>
        <w:tc>
          <w:tcPr>
            <w:tcW w:w="6886"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Gain entry</w:t>
            </w:r>
          </w:p>
        </w:tc>
      </w:tr>
    </w:tbl>
    <w:p w:rsidR="00000000" w:rsidRPr="000600D6" w:rsidP="000600D6">
      <w:pPr>
        <w:pStyle w:val="BodyText"/>
      </w:pPr>
    </w:p>
    <w:p w:rsidR="00000000" w:rsidRPr="000600D6" w:rsidP="000600D6">
      <w:pPr>
        <w:pStyle w:val="AllowPageBreak"/>
      </w:pPr>
    </w:p>
    <w:p w:rsidR="00000000" w:rsidRPr="000600D6" w:rsidP="000600D6">
      <w:pPr>
        <w:pStyle w:val="Heading1"/>
      </w:pPr>
      <w:bookmarkStart w:id="4" w:name="O_951014"/>
      <w:bookmarkEnd w:id="4"/>
      <w:r w:rsidRPr="000600D6">
        <w:t>Competency Field</w:t>
      </w:r>
    </w:p>
    <w:p w:rsidR="00000000" w:rsidRPr="000600D6" w:rsidP="00503DEC">
      <w:pPr>
        <w:pStyle w:val="BodyText"/>
      </w:pPr>
      <w:r w:rsidRPr="000600D6">
        <w:t>Locksmithing</w:t>
      </w:r>
    </w:p>
    <w:p w:rsidR="00000000" w:rsidRPr="000600D6" w:rsidP="000600D6">
      <w:pPr>
        <w:pStyle w:val="Heading1"/>
      </w:pPr>
      <w:bookmarkStart w:id="5" w:name="O_951012"/>
      <w:bookmarkEnd w:id="5"/>
      <w:r w:rsidRPr="000600D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600D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Performance criteria describe the performance needed to demonstrate achievement of the element.</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1</w:t>
            </w:r>
          </w:p>
        </w:tc>
        <w:tc>
          <w:tcPr>
            <w:tcW w:w="1986" w:type="dxa"/>
            <w:vMerge w:val="restart"/>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1.1</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Follow standard operating procedures (SOPs)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1.2</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Comply with work health and safety (WHS) requirements at all times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1.3</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Select and use appropriate personal protective equipment (PPE) in accordance with SOPs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1.4</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Identify job requirements from specifications, job sheets or work instructions</w:t>
            </w:r>
          </w:p>
        </w:tc>
      </w:tr>
      <w:tr w:rsidTr="000600D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2</w:t>
            </w:r>
          </w:p>
        </w:tc>
        <w:tc>
          <w:tcPr>
            <w:tcW w:w="1986" w:type="dxa"/>
            <w:vMerge w:val="restart"/>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Establish entry requirements, authorisations and ownership</w:t>
            </w: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2.1</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Establish safe ownership, contents and ownership of contents and verify in accordance with organisational and industry procedures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2.2</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Establish safe type, locking mechanism and other relevant information from appropriate sources and in accordance with o</w:t>
            </w:r>
            <w:r w:rsidRPr="000600D6">
              <w:t>rganisational and customer requirements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2.3</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Establish nature of problem and circumstances of prior operation in accordance with SOPs, inspection/diagnostic techniques and original specifications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2.4</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Select appropriate entry method in accordance with specific circumstances, customer requirements and SOPs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2.5</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Determine appropriate location of work and arrange safe removal, as necessary</w:t>
            </w:r>
          </w:p>
        </w:tc>
      </w:tr>
      <w:tr w:rsidTr="000600D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3</w:t>
            </w:r>
          </w:p>
        </w:tc>
        <w:tc>
          <w:tcPr>
            <w:tcW w:w="1986" w:type="dxa"/>
            <w:vMerge w:val="restart"/>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 xml:space="preserve">Gain entry to fire </w:t>
            </w:r>
            <w:r w:rsidRPr="000600D6">
              <w:rPr>
                <w:rStyle w:val="SpecialBold"/>
              </w:rPr>
              <w:t>and security containers</w:t>
            </w: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3.1</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 xml:space="preserve">Identify site access requirements and make appropriate </w:t>
            </w:r>
            <w:r w:rsidRPr="000600D6">
              <w:t>arrangements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3.2</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Identify potential and existing risks and hazards and manage, make area secure, and ensure privacy/security of environment in accordance with organisational and legislative requirem</w:t>
            </w:r>
            <w:r w:rsidRPr="000600D6">
              <w:t>ents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3.3</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Observe safe work practices to minimise risk of injury to self or others in accordance with procedures and organisational requirements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3.4</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Select appropriate tools, equipment, materials and consumables for entry requirements and check for serviceability in accordance with manufacturers</w:t>
            </w:r>
            <w:r>
              <w:t>’</w:t>
            </w:r>
            <w:r w:rsidRPr="000600D6">
              <w:t xml:space="preserve"> specifications and SOPs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3.5</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Gain entry in accordance with applicable legislation, codes, regulations and</w:t>
            </w:r>
            <w:r w:rsidRPr="000600D6">
              <w:t xml:space="preserve"> standards</w:t>
            </w:r>
          </w:p>
        </w:tc>
      </w:tr>
      <w:tr w:rsidTr="000600D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4</w:t>
            </w:r>
          </w:p>
        </w:tc>
        <w:tc>
          <w:tcPr>
            <w:tcW w:w="1986" w:type="dxa"/>
            <w:vMerge w:val="restart"/>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Reinstate fire and security container</w:t>
            </w: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4.1</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Select, where applicable, replacement and/or repaired parts as appropriate for reassembly</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4.2</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Dismantle/remove lock assemblies and components using appropriate SOPs, industry practices, tools and equipment</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4.3</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Inspect sub-assemblies, test and adjust for compliance to original factory assembly and function</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4.4</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Prepare components, assemble and adjust using fastening equipment and methods that ensure conformance to specifications, correct functioning, quality and safety of the completed assembly</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4.5</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Select lubrication, packing, sealing materials and apply corre</w:t>
            </w:r>
            <w:r w:rsidRPr="000600D6">
              <w:t>ctly in accordance with job specifications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4.6</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Inspect locking system, test and adjust as necessary for compliance to original factory assembly and functioning</w:t>
            </w:r>
          </w:p>
        </w:tc>
      </w:tr>
      <w:tr w:rsidTr="000600D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5</w:t>
            </w:r>
          </w:p>
        </w:tc>
        <w:tc>
          <w:tcPr>
            <w:tcW w:w="1986" w:type="dxa"/>
            <w:vMerge w:val="restart"/>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Finalise entry and reinstatement process</w:t>
            </w: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5.1</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Complete documentation and process in accordance with legislative and organisational requirements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5.2</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Clean work area, tools and equipment and store in accordance with SOPs</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5.3</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Clean safe and return to serviceable condition</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5.4</w:t>
            </w:r>
          </w:p>
        </w:tc>
        <w:tc>
          <w:tcPr>
            <w:tcW w:w="5678"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Advise customer of work undertaken and further recommended actions and any other relevant information</w:t>
            </w:r>
          </w:p>
        </w:tc>
      </w:tr>
      <w:tr w:rsidTr="000600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5.5</w:t>
            </w:r>
          </w:p>
        </w:tc>
        <w:tc>
          <w:tcPr>
            <w:tcW w:w="5678" w:type="dxa"/>
            <w:tcBorders>
              <w:top w:val="nil"/>
              <w:left w:val="nil"/>
              <w:bottom w:val="nil"/>
              <w:right w:val="nil"/>
            </w:tcBorders>
            <w:tcMar>
              <w:top w:w="0" w:type="dxa"/>
              <w:left w:w="62" w:type="dxa"/>
              <w:bottom w:w="0" w:type="dxa"/>
              <w:right w:w="62" w:type="dxa"/>
            </w:tcMar>
          </w:tcPr>
          <w:p w:rsidR="00000000" w:rsidRPr="000600D6" w:rsidP="000600D6">
            <w:pPr>
              <w:pStyle w:val="BodyText"/>
            </w:pPr>
            <w:r w:rsidRPr="000600D6">
              <w:t>Instruct customer, as necessary, in accordance with organisational procedure and manufacturer recommendations</w:t>
            </w:r>
          </w:p>
        </w:tc>
      </w:tr>
    </w:tbl>
    <w:p w:rsidR="00000000" w:rsidRPr="000600D6" w:rsidP="000600D6">
      <w:pPr>
        <w:pStyle w:val="BodyText"/>
      </w:pPr>
    </w:p>
    <w:p w:rsidR="00000000" w:rsidRPr="000600D6" w:rsidP="000600D6">
      <w:pPr>
        <w:pStyle w:val="AllowPageBreak"/>
      </w:pPr>
    </w:p>
    <w:p w:rsidR="00000000" w:rsidRPr="000600D6" w:rsidP="000600D6">
      <w:pPr>
        <w:pStyle w:val="Heading1"/>
      </w:pPr>
      <w:bookmarkStart w:id="6" w:name="O_951011"/>
      <w:bookmarkEnd w:id="6"/>
      <w:r w:rsidRPr="000600D6">
        <w:t>Foundation Skills</w:t>
      </w:r>
    </w:p>
    <w:p w:rsidR="00000000" w:rsidRPr="000600D6" w:rsidP="00503DEC">
      <w:pPr>
        <w:pStyle w:val="BodyText"/>
      </w:pPr>
      <w:r w:rsidRPr="000600D6">
        <w:t xml:space="preserve">This section describes those required skills (reading, writing, oral communication and numeracy) that are essential to workplace performance in this unit of competency.  </w:t>
      </w:r>
    </w:p>
    <w:p w:rsidR="00000000" w:rsidRPr="000600D6" w:rsidP="00503DEC">
      <w:pPr>
        <w:pStyle w:val="BodyText"/>
      </w:pPr>
      <w:r w:rsidRPr="000600D6">
        <w:t xml:space="preserve">Foundation skills essential to performance are explicit in the performance criteria </w:t>
      </w:r>
      <w:r w:rsidRPr="000600D6">
        <w:t>of this unit of competency.</w:t>
      </w:r>
    </w:p>
    <w:p w:rsidR="00000000" w:rsidRPr="000600D6" w:rsidP="000600D6">
      <w:pPr>
        <w:pStyle w:val="Heading1"/>
      </w:pPr>
      <w:bookmarkStart w:id="7" w:name="O_951010"/>
      <w:bookmarkEnd w:id="7"/>
      <w:r w:rsidRPr="000600D6">
        <w:t>Range of Conditions</w:t>
      </w:r>
    </w:p>
    <w:tbl>
      <w:tblPr>
        <w:tblW w:w="0" w:type="auto"/>
        <w:tblLayout w:type="fixed"/>
        <w:tblCellMar>
          <w:left w:w="62" w:type="dxa"/>
          <w:right w:w="62" w:type="dxa"/>
        </w:tblCellMar>
        <w:tblLook w:val="0000"/>
      </w:tblPr>
      <w:tblGrid>
        <w:gridCol w:w="2641"/>
        <w:gridCol w:w="6501"/>
      </w:tblGrid>
      <w:tr w:rsidTr="000600D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t xml:space="preserve">This field allows for different work environments and conditions that may affect performance. Essential operating conditions that may be present </w:t>
            </w:r>
            <w:r w:rsidRPr="000600D6">
              <w:t>(depending on the work situation, needs of the candidate, accessibility of the item, and local industry and regional contexts) are included.</w:t>
            </w:r>
          </w:p>
        </w:tc>
      </w:tr>
      <w:tr w:rsidTr="000600D6">
        <w:tblPrEx>
          <w:tblW w:w="0" w:type="auto"/>
          <w:tblLayout w:type="fixed"/>
          <w:tblCellMar>
            <w:left w:w="62" w:type="dxa"/>
            <w:right w:w="62" w:type="dxa"/>
          </w:tblCellMar>
          <w:tblLook w:val="0000"/>
        </w:tblPrEx>
        <w:trPr>
          <w:trHeight w:val="4399"/>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PPE includes one (1) or more of:</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 xml:space="preserve">face shields, goggles and safety glasses </w:t>
            </w:r>
          </w:p>
          <w:p w:rsidR="00000000" w:rsidRPr="000600D6" w:rsidP="000600D6">
            <w:pPr>
              <w:pStyle w:val="ListBullet"/>
            </w:pPr>
            <w:r w:rsidRPr="000600D6">
              <w:t>hearing protection</w:t>
            </w:r>
          </w:p>
          <w:p w:rsidR="00000000" w:rsidRPr="000600D6" w:rsidP="000600D6">
            <w:pPr>
              <w:pStyle w:val="ListBullet"/>
            </w:pPr>
            <w:r w:rsidRPr="000600D6">
              <w:t>dust masks and res</w:t>
            </w:r>
            <w:r w:rsidRPr="000600D6">
              <w:t xml:space="preserve">pirators </w:t>
            </w:r>
          </w:p>
          <w:p w:rsidR="00000000" w:rsidRPr="000600D6" w:rsidP="000600D6">
            <w:pPr>
              <w:pStyle w:val="ListBullet"/>
            </w:pPr>
            <w:r w:rsidRPr="000600D6">
              <w:t xml:space="preserve">high visibility vests or clothing </w:t>
            </w:r>
          </w:p>
          <w:p w:rsidR="00000000" w:rsidRPr="000600D6" w:rsidP="000600D6">
            <w:pPr>
              <w:pStyle w:val="ListBullet"/>
            </w:pPr>
            <w:r w:rsidRPr="000600D6">
              <w:t xml:space="preserve">head protection </w:t>
            </w:r>
          </w:p>
          <w:p w:rsidR="00000000" w:rsidRPr="000600D6" w:rsidP="000600D6">
            <w:pPr>
              <w:pStyle w:val="ListBullet"/>
            </w:pPr>
            <w:r w:rsidRPr="000600D6">
              <w:t xml:space="preserve">sun protection, hats and sun screen </w:t>
            </w:r>
          </w:p>
          <w:p w:rsidR="00000000" w:rsidRPr="000600D6" w:rsidP="000600D6">
            <w:pPr>
              <w:pStyle w:val="ListBullet"/>
            </w:pPr>
            <w:r w:rsidRPr="000600D6">
              <w:t xml:space="preserve">gloves and knee pads </w:t>
            </w:r>
          </w:p>
          <w:p w:rsidR="00000000" w:rsidRPr="000600D6" w:rsidP="000600D6">
            <w:pPr>
              <w:pStyle w:val="ListBullet"/>
            </w:pPr>
            <w:r w:rsidRPr="000600D6">
              <w:t xml:space="preserve">safety footwear </w:t>
            </w:r>
          </w:p>
          <w:p w:rsidR="00000000" w:rsidRPr="000600D6" w:rsidP="000600D6">
            <w:pPr>
              <w:pStyle w:val="ListBullet"/>
            </w:pPr>
            <w:r w:rsidRPr="000600D6">
              <w:t xml:space="preserve">witches hats </w:t>
            </w:r>
          </w:p>
          <w:p w:rsidR="00000000" w:rsidRPr="000600D6" w:rsidP="000600D6">
            <w:pPr>
              <w:pStyle w:val="ListBullet"/>
            </w:pPr>
            <w:r w:rsidRPr="000600D6">
              <w:t xml:space="preserve">warning signs and warning tapes </w:t>
            </w:r>
          </w:p>
          <w:p w:rsidR="00000000" w:rsidRPr="000600D6" w:rsidP="000600D6">
            <w:pPr>
              <w:pStyle w:val="ListBullet"/>
            </w:pPr>
            <w:r w:rsidRPr="000600D6">
              <w:t xml:space="preserve">temporary safety barriers </w:t>
            </w:r>
          </w:p>
          <w:p w:rsidR="00000000" w:rsidRPr="000600D6" w:rsidP="000600D6">
            <w:pPr>
              <w:pStyle w:val="ListBullet"/>
            </w:pPr>
            <w:r w:rsidRPr="000600D6">
              <w:t xml:space="preserve">fire extinguisher </w:t>
            </w:r>
          </w:p>
          <w:p w:rsidR="00000000" w:rsidP="000600D6">
            <w:pPr>
              <w:pStyle w:val="ListBullet"/>
              <w:rPr>
                <w:lang w:val="en-NZ"/>
              </w:rPr>
            </w:pPr>
            <w:r w:rsidRPr="000600D6">
              <w:t>first aid kit</w:t>
            </w:r>
          </w:p>
        </w:tc>
      </w:tr>
      <w:tr w:rsidTr="000600D6">
        <w:tblPrEx>
          <w:tblW w:w="0" w:type="auto"/>
          <w:tblLayout w:type="fixed"/>
          <w:tblCellMar>
            <w:left w:w="62" w:type="dxa"/>
            <w:right w:w="62" w:type="dxa"/>
          </w:tblCellMar>
          <w:tblLook w:val="0000"/>
        </w:tblPrEx>
        <w:trPr>
          <w:trHeight w:val="3179"/>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Safe types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plate safes</w:t>
            </w:r>
          </w:p>
          <w:p w:rsidR="00000000" w:rsidRPr="000600D6" w:rsidP="000600D6">
            <w:pPr>
              <w:pStyle w:val="ListBullet"/>
            </w:pPr>
            <w:r w:rsidRPr="000600D6">
              <w:t>slab safes</w:t>
            </w:r>
          </w:p>
          <w:p w:rsidR="00000000" w:rsidRPr="000600D6" w:rsidP="000600D6">
            <w:pPr>
              <w:pStyle w:val="ListBullet"/>
            </w:pPr>
            <w:r w:rsidRPr="000600D6">
              <w:t>fire</w:t>
            </w:r>
          </w:p>
          <w:p w:rsidR="00000000" w:rsidRPr="000600D6" w:rsidP="000600D6">
            <w:pPr>
              <w:pStyle w:val="ListBullet"/>
            </w:pPr>
            <w:r w:rsidRPr="000600D6">
              <w:t>data</w:t>
            </w:r>
          </w:p>
          <w:p w:rsidR="00000000" w:rsidRPr="000600D6" w:rsidP="000600D6">
            <w:pPr>
              <w:pStyle w:val="ListBullet"/>
            </w:pPr>
            <w:r w:rsidRPr="000600D6">
              <w:t>cash and/or jewellery</w:t>
            </w:r>
          </w:p>
          <w:p w:rsidR="00000000" w:rsidRPr="000600D6" w:rsidP="000600D6">
            <w:pPr>
              <w:pStyle w:val="ListBullet"/>
            </w:pPr>
            <w:r w:rsidRPr="000600D6">
              <w:t>under-floor</w:t>
            </w:r>
          </w:p>
          <w:p w:rsidR="00000000" w:rsidRPr="000600D6" w:rsidP="000600D6">
            <w:pPr>
              <w:pStyle w:val="ListBullet"/>
            </w:pPr>
            <w:r w:rsidRPr="000600D6">
              <w:t>wall</w:t>
            </w:r>
          </w:p>
          <w:p w:rsidR="00000000" w:rsidRPr="000600D6" w:rsidP="000600D6">
            <w:pPr>
              <w:pStyle w:val="ListBullet"/>
            </w:pPr>
            <w:r w:rsidRPr="000600D6">
              <w:t>free standing</w:t>
            </w:r>
          </w:p>
          <w:p w:rsidR="00000000" w:rsidP="000600D6">
            <w:pPr>
              <w:pStyle w:val="ListBullet"/>
              <w:rPr>
                <w:lang w:val="en-NZ"/>
              </w:rPr>
            </w:pPr>
            <w:r w:rsidRPr="000600D6">
              <w:t>bank safes and vaults</w:t>
            </w:r>
          </w:p>
        </w:tc>
      </w:tr>
      <w:tr w:rsidTr="000600D6">
        <w:tblPrEx>
          <w:tblW w:w="0" w:type="auto"/>
          <w:tblLayout w:type="fixed"/>
          <w:tblCellMar>
            <w:left w:w="62" w:type="dxa"/>
            <w:right w:w="62" w:type="dxa"/>
          </w:tblCellMar>
          <w:tblLook w:val="0000"/>
        </w:tblPrEx>
        <w:trPr>
          <w:trHeight w:val="2826"/>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Appropriate sources of information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catalogues</w:t>
            </w:r>
          </w:p>
          <w:p w:rsidR="00000000" w:rsidRPr="000600D6" w:rsidP="000600D6">
            <w:pPr>
              <w:pStyle w:val="ListBullet"/>
            </w:pPr>
            <w:r w:rsidRPr="000600D6">
              <w:t>manufacturer manuals</w:t>
            </w:r>
          </w:p>
          <w:p w:rsidR="00000000" w:rsidRPr="000600D6" w:rsidP="000600D6">
            <w:pPr>
              <w:pStyle w:val="ListBullet"/>
            </w:pPr>
            <w:r w:rsidRPr="000600D6">
              <w:t>drawings</w:t>
            </w:r>
          </w:p>
          <w:p w:rsidR="00000000" w:rsidRPr="000600D6" w:rsidP="000600D6">
            <w:pPr>
              <w:pStyle w:val="ListBullet"/>
            </w:pPr>
            <w:r w:rsidRPr="000600D6">
              <w:t xml:space="preserve">detailed/technical sketches </w:t>
            </w:r>
          </w:p>
          <w:p w:rsidR="00000000" w:rsidRPr="000600D6" w:rsidP="000600D6">
            <w:pPr>
              <w:pStyle w:val="ListBullet"/>
            </w:pPr>
            <w:r w:rsidRPr="000600D6">
              <w:t>associated data sheets</w:t>
            </w:r>
          </w:p>
          <w:p w:rsidR="00000000" w:rsidRPr="000600D6" w:rsidP="000600D6">
            <w:pPr>
              <w:pStyle w:val="ListBullet"/>
            </w:pPr>
            <w:r w:rsidRPr="000600D6">
              <w:t>colleague/industry expert</w:t>
            </w:r>
          </w:p>
          <w:p w:rsidR="00000000" w:rsidRPr="000600D6" w:rsidP="000600D6">
            <w:pPr>
              <w:pStyle w:val="ListBullet"/>
            </w:pPr>
            <w:r w:rsidRPr="000600D6">
              <w:t>specifications</w:t>
            </w:r>
          </w:p>
          <w:p w:rsidR="00000000" w:rsidP="000600D6">
            <w:pPr>
              <w:pStyle w:val="ListBullet"/>
              <w:rPr>
                <w:lang w:val="en-NZ"/>
              </w:rPr>
            </w:pPr>
            <w:r w:rsidRPr="000600D6">
              <w:t>charts</w:t>
            </w:r>
          </w:p>
        </w:tc>
      </w:tr>
      <w:tr w:rsidTr="000600D6">
        <w:tblPrEx>
          <w:tblW w:w="0" w:type="auto"/>
          <w:tblLayout w:type="fixed"/>
          <w:tblCellMar>
            <w:left w:w="62" w:type="dxa"/>
            <w:right w:w="62" w:type="dxa"/>
          </w:tblCellMar>
          <w:tblLook w:val="0000"/>
        </w:tblPrEx>
        <w:trPr>
          <w:trHeight w:val="2425"/>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Basis for entry</w:t>
            </w:r>
            <w:r w:rsidRPr="000600D6">
              <w:t xml:space="preserve"> </w:t>
            </w:r>
            <w:r w:rsidRPr="000600D6">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lost combination</w:t>
            </w:r>
          </w:p>
          <w:p w:rsidR="00000000" w:rsidRPr="000600D6" w:rsidP="000600D6">
            <w:pPr>
              <w:pStyle w:val="ListBullet"/>
            </w:pPr>
            <w:r w:rsidRPr="000600D6">
              <w:t>lockout (keys inside)</w:t>
            </w:r>
          </w:p>
          <w:p w:rsidR="00000000" w:rsidRPr="000600D6" w:rsidP="000600D6">
            <w:pPr>
              <w:pStyle w:val="ListBullet"/>
            </w:pPr>
            <w:r w:rsidRPr="000600D6">
              <w:t>lost keys (rekeys)</w:t>
            </w:r>
          </w:p>
          <w:p w:rsidR="00000000" w:rsidRPr="000600D6" w:rsidP="000600D6">
            <w:pPr>
              <w:pStyle w:val="ListBullet"/>
            </w:pPr>
            <w:r w:rsidRPr="000600D6">
              <w:t xml:space="preserve">malfunction </w:t>
            </w:r>
          </w:p>
          <w:p w:rsidR="00000000" w:rsidRPr="000600D6" w:rsidP="000600D6">
            <w:pPr>
              <w:pStyle w:val="ListBullet"/>
            </w:pPr>
            <w:r w:rsidRPr="000600D6">
              <w:t xml:space="preserve">damage caused by burglary or user </w:t>
            </w:r>
          </w:p>
          <w:p w:rsidR="00000000" w:rsidP="000600D6">
            <w:pPr>
              <w:pStyle w:val="ListBullet"/>
              <w:rPr>
                <w:lang w:val="en-NZ"/>
              </w:rPr>
            </w:pPr>
            <w:r w:rsidRPr="000600D6">
              <w:t>requirement to safely remove, replace and reinstate original and replacement components and locking systems</w:t>
            </w:r>
          </w:p>
        </w:tc>
      </w:tr>
      <w:tr w:rsidTr="000600D6">
        <w:tblPrEx>
          <w:tblW w:w="0" w:type="auto"/>
          <w:tblLayout w:type="fixed"/>
          <w:tblCellMar>
            <w:left w:w="62" w:type="dxa"/>
            <w:right w:w="62" w:type="dxa"/>
          </w:tblCellMar>
          <w:tblLook w:val="0000"/>
        </w:tblPrEx>
        <w:trPr>
          <w:trHeight w:val="1906"/>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function and capabilities</w:t>
            </w:r>
          </w:p>
          <w:p w:rsidR="00000000" w:rsidRPr="000600D6" w:rsidP="000600D6">
            <w:pPr>
              <w:pStyle w:val="ListBullet"/>
            </w:pPr>
            <w:r w:rsidRPr="000600D6">
              <w:t>access issues</w:t>
            </w:r>
          </w:p>
          <w:p w:rsidR="00000000" w:rsidRPr="000600D6" w:rsidP="000600D6">
            <w:pPr>
              <w:pStyle w:val="ListBullet"/>
            </w:pPr>
            <w:r w:rsidRPr="000600D6">
              <w:t>service and maintenance requirements</w:t>
            </w:r>
          </w:p>
          <w:p w:rsidR="00000000" w:rsidRPr="000600D6" w:rsidP="000600D6">
            <w:pPr>
              <w:pStyle w:val="ListBullet"/>
            </w:pPr>
            <w:r w:rsidRPr="000600D6">
              <w:t>product operation and warranty information</w:t>
            </w:r>
          </w:p>
          <w:p w:rsidR="00000000" w:rsidP="000600D6">
            <w:pPr>
              <w:pStyle w:val="ListBullet"/>
              <w:rPr>
                <w:lang w:val="en-NZ"/>
              </w:rPr>
            </w:pPr>
            <w:r w:rsidRPr="000600D6">
              <w:t>costings</w:t>
            </w:r>
          </w:p>
        </w:tc>
      </w:tr>
      <w:tr w:rsidTr="000600D6">
        <w:tblPrEx>
          <w:tblW w:w="0" w:type="auto"/>
          <w:tblLayout w:type="fixed"/>
          <w:tblCellMar>
            <w:left w:w="62" w:type="dxa"/>
            <w:right w:w="62" w:type="dxa"/>
          </w:tblCellMar>
          <w:tblLook w:val="0000"/>
        </w:tblPrEx>
        <w:trPr>
          <w:trHeight w:val="2494"/>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Entry method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mechanical drilling and cutting</w:t>
            </w:r>
          </w:p>
          <w:p w:rsidR="00000000" w:rsidRPr="000600D6" w:rsidP="000600D6">
            <w:pPr>
              <w:pStyle w:val="ListBullet"/>
            </w:pPr>
            <w:r w:rsidRPr="000600D6">
              <w:t>safe lever lock - impressioning reading</w:t>
            </w:r>
          </w:p>
          <w:p w:rsidR="00000000" w:rsidRPr="000600D6" w:rsidP="000600D6">
            <w:pPr>
              <w:pStyle w:val="ListBullet"/>
            </w:pPr>
            <w:r w:rsidRPr="000600D6">
              <w:t>safe lever lock - picki</w:t>
            </w:r>
            <w:r w:rsidRPr="000600D6">
              <w:t>ng</w:t>
            </w:r>
          </w:p>
          <w:p w:rsidR="00000000" w:rsidRPr="000600D6" w:rsidP="000600D6">
            <w:pPr>
              <w:pStyle w:val="ListBullet"/>
            </w:pPr>
            <w:r w:rsidRPr="000600D6">
              <w:t>safe lock picking</w:t>
            </w:r>
          </w:p>
          <w:p w:rsidR="00000000" w:rsidRPr="000600D6" w:rsidP="000600D6">
            <w:pPr>
              <w:pStyle w:val="ListBullet"/>
            </w:pPr>
            <w:r w:rsidRPr="000600D6">
              <w:t>manipulation of mechanical combination locks</w:t>
            </w:r>
          </w:p>
          <w:p w:rsidR="00000000" w:rsidRPr="000600D6" w:rsidP="000600D6">
            <w:pPr>
              <w:pStyle w:val="ListBullet"/>
            </w:pPr>
            <w:r w:rsidRPr="000600D6">
              <w:t>manipulation of electro-mechanical combination locks</w:t>
            </w:r>
          </w:p>
          <w:p w:rsidR="00000000" w:rsidP="000600D6">
            <w:pPr>
              <w:pStyle w:val="ListBullet"/>
              <w:rPr>
                <w:lang w:val="en-NZ"/>
              </w:rPr>
            </w:pPr>
            <w:r w:rsidRPr="000600D6">
              <w:t>alternative methods</w:t>
            </w:r>
          </w:p>
        </w:tc>
      </w:tr>
      <w:tr w:rsidTr="000600D6">
        <w:tblPrEx>
          <w:tblW w:w="0" w:type="auto"/>
          <w:tblLayout w:type="fixed"/>
          <w:tblCellMar>
            <w:left w:w="62" w:type="dxa"/>
            <w:right w:w="62" w:type="dxa"/>
          </w:tblCellMar>
          <w:tblLook w:val="0000"/>
        </w:tblPrEx>
        <w:trPr>
          <w:trHeight w:val="2446"/>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Risks and hazards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safe construction</w:t>
            </w:r>
          </w:p>
          <w:p w:rsidR="00000000" w:rsidRPr="000600D6" w:rsidP="000600D6">
            <w:pPr>
              <w:pStyle w:val="ListBullet"/>
            </w:pPr>
            <w:r w:rsidRPr="000600D6">
              <w:t>chemical, environmental and material hazards</w:t>
            </w:r>
          </w:p>
          <w:p w:rsidR="00000000" w:rsidRPr="000600D6" w:rsidP="000600D6">
            <w:pPr>
              <w:pStyle w:val="ListBullet"/>
            </w:pPr>
            <w:r w:rsidRPr="000600D6">
              <w:t>lifting and handling</w:t>
            </w:r>
          </w:p>
          <w:p w:rsidR="00000000" w:rsidRPr="000600D6" w:rsidP="000600D6">
            <w:pPr>
              <w:pStyle w:val="ListBullet"/>
            </w:pPr>
            <w:r w:rsidRPr="000600D6">
              <w:t>use of mechanical and fuel gas cutting equipment</w:t>
            </w:r>
          </w:p>
          <w:p w:rsidR="00000000" w:rsidRPr="000600D6" w:rsidP="000600D6">
            <w:pPr>
              <w:pStyle w:val="ListBullet"/>
            </w:pPr>
            <w:r w:rsidRPr="000600D6">
              <w:t>electrical wiring</w:t>
            </w:r>
          </w:p>
          <w:p w:rsidR="00000000" w:rsidP="000600D6">
            <w:pPr>
              <w:pStyle w:val="ListBullet"/>
              <w:rPr>
                <w:lang w:val="en-NZ"/>
              </w:rPr>
            </w:pPr>
            <w:r w:rsidRPr="000600D6">
              <w:t xml:space="preserve">exposure to asbestos, dust, noise, live power, vermin, water and glass fibre </w:t>
            </w:r>
          </w:p>
        </w:tc>
      </w:tr>
      <w:tr w:rsidTr="000600D6">
        <w:tblPrEx>
          <w:tblW w:w="0" w:type="auto"/>
          <w:tblLayout w:type="fixed"/>
          <w:tblCellMar>
            <w:left w:w="62" w:type="dxa"/>
            <w:right w:w="62" w:type="dxa"/>
          </w:tblCellMar>
          <w:tblLook w:val="0000"/>
        </w:tblPrEx>
        <w:trPr>
          <w:trHeight w:val="4442"/>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 xml:space="preserve">Tools and equipment include one (1) or more </w:t>
            </w:r>
            <w:r w:rsidRPr="000600D6">
              <w:rPr>
                <w:rStyle w:val="SpecialBold"/>
              </w:rPr>
              <w:t xml:space="preserve">of the following: </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hand and power tools and accessories specific to gaining entry:</w:t>
            </w:r>
          </w:p>
          <w:p w:rsidR="00000000" w:rsidRPr="000600D6" w:rsidP="000600D6">
            <w:pPr>
              <w:pStyle w:val="ListBullet2"/>
            </w:pPr>
            <w:r w:rsidRPr="000600D6">
              <w:t>hardened drill bits</w:t>
            </w:r>
          </w:p>
          <w:p w:rsidR="00000000" w:rsidRPr="000600D6" w:rsidP="000600D6">
            <w:pPr>
              <w:pStyle w:val="ListBullet2"/>
            </w:pPr>
            <w:r w:rsidRPr="000600D6">
              <w:t>special-purpose equipment</w:t>
            </w:r>
          </w:p>
          <w:p w:rsidR="00000000" w:rsidRPr="000600D6" w:rsidP="000600D6">
            <w:pPr>
              <w:pStyle w:val="ListBullet2"/>
            </w:pPr>
            <w:r w:rsidRPr="000600D6">
              <w:t>borescope, flexi-light and fibre optical scope</w:t>
            </w:r>
          </w:p>
          <w:p w:rsidR="00000000" w:rsidRPr="000600D6" w:rsidP="000600D6">
            <w:pPr>
              <w:pStyle w:val="ListBullet2"/>
            </w:pPr>
            <w:r w:rsidRPr="000600D6">
              <w:t>automatic dialler (soft drill)</w:t>
            </w:r>
          </w:p>
          <w:p w:rsidR="00000000" w:rsidRPr="000600D6" w:rsidP="000600D6">
            <w:pPr>
              <w:pStyle w:val="ListBullet2"/>
            </w:pPr>
            <w:r w:rsidRPr="000600D6">
              <w:t>listening devices and manipulation aids</w:t>
            </w:r>
          </w:p>
          <w:p w:rsidR="00000000" w:rsidRPr="000600D6" w:rsidP="000600D6">
            <w:pPr>
              <w:pStyle w:val="ListBullet2"/>
            </w:pPr>
            <w:r w:rsidRPr="000600D6">
              <w:t>magnetic or vacuum based drills and lever rigs</w:t>
            </w:r>
          </w:p>
          <w:p w:rsidR="00000000" w:rsidRPr="000600D6" w:rsidP="000600D6">
            <w:pPr>
              <w:pStyle w:val="ListBullet"/>
            </w:pPr>
            <w:r w:rsidRPr="000600D6">
              <w:t>measuring equipment:</w:t>
            </w:r>
          </w:p>
          <w:p w:rsidR="00000000" w:rsidRPr="000600D6" w:rsidP="000600D6">
            <w:pPr>
              <w:pStyle w:val="ListBullet2"/>
            </w:pPr>
            <w:r w:rsidRPr="000600D6">
              <w:t>vernier callipers</w:t>
            </w:r>
          </w:p>
          <w:p w:rsidR="00000000" w:rsidRPr="000600D6" w:rsidP="000600D6">
            <w:pPr>
              <w:pStyle w:val="ListBullet2"/>
            </w:pPr>
            <w:r w:rsidRPr="000600D6">
              <w:t>rules</w:t>
            </w:r>
          </w:p>
          <w:p w:rsidR="00000000" w:rsidRPr="000600D6" w:rsidP="000600D6">
            <w:pPr>
              <w:pStyle w:val="ListBullet2"/>
            </w:pPr>
            <w:r w:rsidRPr="000600D6">
              <w:t xml:space="preserve">squares </w:t>
            </w:r>
          </w:p>
          <w:p w:rsidR="00000000" w:rsidRPr="000600D6" w:rsidP="000600D6">
            <w:pPr>
              <w:pStyle w:val="ListBullet2"/>
            </w:pPr>
            <w:r w:rsidRPr="000600D6">
              <w:t>templates</w:t>
            </w:r>
          </w:p>
          <w:p w:rsidR="00000000" w:rsidP="000600D6">
            <w:pPr>
              <w:pStyle w:val="ListBullet2"/>
              <w:rPr>
                <w:lang w:val="en-NZ"/>
              </w:rPr>
            </w:pPr>
            <w:r w:rsidRPr="000600D6">
              <w:t>gauges</w:t>
            </w:r>
          </w:p>
        </w:tc>
      </w:tr>
      <w:tr w:rsidTr="000600D6">
        <w:tblPrEx>
          <w:tblW w:w="0" w:type="auto"/>
          <w:tblLayout w:type="fixed"/>
          <w:tblCellMar>
            <w:left w:w="62" w:type="dxa"/>
            <w:right w:w="62" w:type="dxa"/>
          </w:tblCellMar>
          <w:tblLook w:val="0000"/>
        </w:tblPrEx>
        <w:trPr>
          <w:trHeight w:val="3446"/>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Materials and consumables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lubricants:</w:t>
            </w:r>
          </w:p>
          <w:p w:rsidR="00000000" w:rsidRPr="000600D6" w:rsidP="000600D6">
            <w:pPr>
              <w:pStyle w:val="ListBullet2"/>
            </w:pPr>
            <w:r w:rsidRPr="000600D6">
              <w:t xml:space="preserve">machine oil </w:t>
            </w:r>
          </w:p>
          <w:p w:rsidR="00000000" w:rsidRPr="000600D6" w:rsidP="000600D6">
            <w:pPr>
              <w:pStyle w:val="ListBullet2"/>
            </w:pPr>
            <w:r w:rsidRPr="000600D6">
              <w:t xml:space="preserve">general purpose grease </w:t>
            </w:r>
          </w:p>
          <w:p w:rsidR="00000000" w:rsidRPr="000600D6" w:rsidP="000600D6">
            <w:pPr>
              <w:pStyle w:val="ListBullet2"/>
            </w:pPr>
            <w:r w:rsidRPr="000600D6">
              <w:t xml:space="preserve">graphite powder </w:t>
            </w:r>
          </w:p>
          <w:p w:rsidR="00000000" w:rsidRPr="000600D6" w:rsidP="000600D6">
            <w:pPr>
              <w:pStyle w:val="ListBullet2"/>
            </w:pPr>
            <w:r w:rsidRPr="000600D6">
              <w:t xml:space="preserve">lithium grease </w:t>
            </w:r>
          </w:p>
          <w:p w:rsidR="00000000" w:rsidRPr="000600D6" w:rsidP="000600D6">
            <w:pPr>
              <w:pStyle w:val="ListBullet"/>
            </w:pPr>
            <w:r w:rsidRPr="000600D6">
              <w:t>adhesives and sealants</w:t>
            </w:r>
          </w:p>
          <w:p w:rsidR="00000000" w:rsidRPr="000600D6" w:rsidP="000600D6">
            <w:pPr>
              <w:pStyle w:val="ListBullet"/>
            </w:pPr>
            <w:r w:rsidRPr="000600D6">
              <w:t>cleaning materials</w:t>
            </w:r>
          </w:p>
          <w:p w:rsidR="00000000" w:rsidRPr="000600D6" w:rsidP="000600D6">
            <w:pPr>
              <w:pStyle w:val="ListBullet"/>
            </w:pPr>
            <w:r w:rsidRPr="000600D6">
              <w:t>wire and cable</w:t>
            </w:r>
          </w:p>
          <w:p w:rsidR="00000000" w:rsidRPr="000600D6" w:rsidP="000600D6">
            <w:pPr>
              <w:pStyle w:val="ListBullet"/>
            </w:pPr>
            <w:r w:rsidRPr="000600D6">
              <w:t xml:space="preserve">security seals and replacement barrier materials </w:t>
            </w:r>
          </w:p>
          <w:p w:rsidR="00000000" w:rsidP="000600D6">
            <w:pPr>
              <w:pStyle w:val="ListBullet"/>
              <w:rPr>
                <w:lang w:val="en-NZ"/>
              </w:rPr>
            </w:pPr>
            <w:r w:rsidRPr="000600D6">
              <w:t xml:space="preserve"> replacement parts</w:t>
            </w:r>
          </w:p>
        </w:tc>
      </w:tr>
      <w:tr w:rsidTr="000600D6">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Lock assemblies and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keylocks</w:t>
            </w:r>
          </w:p>
          <w:p w:rsidR="00000000" w:rsidRPr="000600D6" w:rsidP="000600D6">
            <w:pPr>
              <w:pStyle w:val="ListBullet"/>
            </w:pPr>
            <w:r w:rsidRPr="000600D6">
              <w:t>keyless combination locks</w:t>
            </w:r>
          </w:p>
          <w:p w:rsidR="00000000" w:rsidRPr="000600D6" w:rsidP="000600D6">
            <w:pPr>
              <w:pStyle w:val="ListBullet"/>
            </w:pPr>
            <w:r w:rsidRPr="000600D6">
              <w:t>electronic digital</w:t>
            </w:r>
          </w:p>
          <w:p w:rsidR="00000000" w:rsidP="000600D6">
            <w:pPr>
              <w:pStyle w:val="ListBullet"/>
              <w:rPr>
                <w:lang w:val="en-NZ"/>
              </w:rPr>
            </w:pPr>
            <w:r w:rsidRPr="000600D6">
              <w:t>electronic and mechanical time delay</w:t>
            </w:r>
          </w:p>
        </w:tc>
      </w:tr>
      <w:tr w:rsidTr="000600D6">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0600D6">
            <w:pPr>
              <w:pStyle w:val="BodyText"/>
              <w:rPr>
                <w:lang w:val="en-NZ"/>
              </w:rPr>
            </w:pPr>
            <w:r w:rsidRPr="000600D6">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600D6" w:rsidP="000600D6">
            <w:pPr>
              <w:pStyle w:val="ListBullet"/>
            </w:pPr>
            <w:r w:rsidRPr="000600D6">
              <w:t>historical records</w:t>
            </w:r>
          </w:p>
          <w:p w:rsidR="00000000" w:rsidRPr="000600D6" w:rsidP="000600D6">
            <w:pPr>
              <w:pStyle w:val="ListBullet"/>
            </w:pPr>
            <w:r w:rsidRPr="000600D6">
              <w:t>procedures and measurements for opening specific safes</w:t>
            </w:r>
          </w:p>
          <w:p w:rsidR="00000000" w:rsidRPr="000600D6" w:rsidP="000600D6">
            <w:pPr>
              <w:pStyle w:val="ListBullet"/>
            </w:pPr>
            <w:r w:rsidRPr="000600D6">
              <w:t>job sheets</w:t>
            </w:r>
          </w:p>
          <w:p w:rsidR="00000000" w:rsidRPr="000600D6" w:rsidP="000600D6">
            <w:pPr>
              <w:pStyle w:val="ListBullet"/>
            </w:pPr>
            <w:r w:rsidRPr="000600D6">
              <w:t>invoices</w:t>
            </w:r>
          </w:p>
          <w:p w:rsidR="00000000" w:rsidRPr="000600D6" w:rsidP="000600D6">
            <w:pPr>
              <w:pStyle w:val="ListBullet"/>
            </w:pPr>
            <w:r w:rsidRPr="000600D6">
              <w:t>warranties</w:t>
            </w:r>
          </w:p>
        </w:tc>
      </w:tr>
    </w:tbl>
    <w:p w:rsidR="00000000" w:rsidRPr="000600D6" w:rsidP="000600D6">
      <w:pPr>
        <w:pStyle w:val="BodyText"/>
      </w:pPr>
    </w:p>
    <w:p w:rsidR="00000000" w:rsidRPr="000600D6" w:rsidP="000600D6">
      <w:pPr>
        <w:pStyle w:val="AllowPageBreak"/>
      </w:pPr>
    </w:p>
    <w:p w:rsidR="00000000" w:rsidRPr="000600D6" w:rsidP="000600D6">
      <w:pPr>
        <w:pStyle w:val="Heading1"/>
      </w:pPr>
      <w:bookmarkStart w:id="8" w:name="O_951009"/>
      <w:bookmarkEnd w:id="8"/>
      <w:r w:rsidRPr="000600D6">
        <w:t>Unit Mapping Information</w:t>
      </w:r>
    </w:p>
    <w:p w:rsidR="00000000" w:rsidRPr="000600D6" w:rsidP="00503DEC">
      <w:pPr>
        <w:pStyle w:val="BodyText"/>
      </w:pPr>
      <w:r w:rsidRPr="000600D6">
        <w:t>Release 1. Supersedes and is equivalent to MEM20009A Gain entry and reinstate fire and security containers</w:t>
      </w:r>
    </w:p>
    <w:p w:rsidR="00000000" w:rsidRPr="000600D6" w:rsidP="000600D6">
      <w:pPr>
        <w:pStyle w:val="Heading1"/>
      </w:pPr>
      <w:bookmarkStart w:id="9" w:name="O_951002"/>
      <w:bookmarkEnd w:id="9"/>
      <w:r w:rsidRPr="000600D6">
        <w:t>Links</w:t>
      </w:r>
    </w:p>
    <w:p w:rsidR="00000000" w:rsidRPr="000600D6" w:rsidP="00503DEC">
      <w:pPr>
        <w:pStyle w:val="BodyText"/>
      </w:pPr>
      <w:r w:rsidRPr="000600D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B6B7A">
        <w:rPr>
          <w:rStyle w:val="Hyperlink"/>
        </w:rPr>
        <w:t>https://vetnet.gov.au/Pages/TrainingDocs.aspx?q=b7050d37-5fd0-4740-8f7d-3b7a49c10bb2</w:t>
      </w:r>
      <w:r>
        <w:fldChar w:fldCharType="end"/>
      </w:r>
    </w:p>
    <w:p w:rsidR="00000000" w:rsidRPr="000600D6" w:rsidP="000600D6"/>
    <w:sectPr w:rsidSect="00060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D6" w:rsidRPr="00503DEC" w:rsidP="00503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EC" w:rsidP="00060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3DEC" w:rsidP="000600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3DEC" w:rsidP="00060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0D6" w:rsidRPr="00503DEC" w:rsidP="00503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EC" w:rsidRPr="002D2AF8" w:rsidP="000600D6">
    <w:pPr>
      <w:pStyle w:val="Header"/>
      <w:framePr w:wrap="around"/>
    </w:pPr>
    <w:r>
      <w:fldChar w:fldCharType="begin"/>
    </w:r>
    <w:r>
      <w:instrText xml:space="preserve"> TITLE   \* MERGEFORMAT </w:instrText>
    </w:r>
    <w:r>
      <w:fldChar w:fldCharType="separate"/>
    </w:r>
    <w:r>
      <w:t>MEM20009 Gain entry and reinstate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503DEC" w:rsidP="00060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CEF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0C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C0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0D6"/>
    <w:pPr>
      <w:spacing w:before="360" w:after="60"/>
      <w:outlineLvl w:val="0"/>
    </w:pPr>
    <w:rPr>
      <w:sz w:val="32"/>
    </w:rPr>
  </w:style>
  <w:style w:type="paragraph" w:styleId="Heading2">
    <w:name w:val="heading 2"/>
    <w:basedOn w:val="HeadingBase"/>
    <w:next w:val="BodyText"/>
    <w:link w:val="Heading2Char"/>
    <w:qFormat/>
    <w:rsid w:val="000600D6"/>
    <w:pPr>
      <w:keepLines/>
      <w:spacing w:before="240" w:after="120"/>
      <w:outlineLvl w:val="1"/>
    </w:pPr>
    <w:rPr>
      <w:sz w:val="28"/>
      <w:szCs w:val="40"/>
    </w:rPr>
  </w:style>
  <w:style w:type="paragraph" w:styleId="Heading3">
    <w:name w:val="heading 3"/>
    <w:basedOn w:val="HeadingBase"/>
    <w:next w:val="BodyText"/>
    <w:link w:val="Heading3Char"/>
    <w:qFormat/>
    <w:rsid w:val="000600D6"/>
    <w:pPr>
      <w:spacing w:before="180" w:after="120"/>
      <w:outlineLvl w:val="2"/>
    </w:pPr>
    <w:rPr>
      <w:spacing w:val="-10"/>
      <w:kern w:val="32"/>
    </w:rPr>
  </w:style>
  <w:style w:type="paragraph" w:styleId="Heading4">
    <w:name w:val="heading 4"/>
    <w:basedOn w:val="HeadingBase"/>
    <w:next w:val="BodyText"/>
    <w:link w:val="Heading4Char"/>
    <w:qFormat/>
    <w:rsid w:val="000600D6"/>
    <w:pPr>
      <w:spacing w:before="160" w:after="120"/>
      <w:outlineLvl w:val="3"/>
    </w:pPr>
    <w:rPr>
      <w:sz w:val="22"/>
    </w:rPr>
  </w:style>
  <w:style w:type="paragraph" w:styleId="Heading5">
    <w:name w:val="heading 5"/>
    <w:basedOn w:val="HeadingBase"/>
    <w:next w:val="Normal"/>
    <w:link w:val="Heading5Char"/>
    <w:qFormat/>
    <w:rsid w:val="000600D6"/>
    <w:pPr>
      <w:spacing w:before="80"/>
      <w:outlineLvl w:val="4"/>
    </w:pPr>
    <w:rPr>
      <w:color w:val="918585"/>
      <w:sz w:val="20"/>
    </w:rPr>
  </w:style>
  <w:style w:type="paragraph" w:styleId="Heading6">
    <w:name w:val="heading 6"/>
    <w:basedOn w:val="HeadingBase"/>
    <w:next w:val="Normal"/>
    <w:link w:val="Heading6Char"/>
    <w:qFormat/>
    <w:rsid w:val="000600D6"/>
    <w:pPr>
      <w:spacing w:before="60"/>
      <w:outlineLvl w:val="5"/>
    </w:pPr>
    <w:rPr>
      <w:color w:val="918585"/>
      <w:sz w:val="20"/>
    </w:rPr>
  </w:style>
  <w:style w:type="paragraph" w:styleId="Heading7">
    <w:name w:val="heading 7"/>
    <w:basedOn w:val="Normal"/>
    <w:next w:val="Normal"/>
    <w:link w:val="Heading7Char"/>
    <w:qFormat/>
    <w:rsid w:val="000600D6"/>
    <w:pPr>
      <w:ind w:left="720"/>
      <w:outlineLvl w:val="6"/>
    </w:pPr>
    <w:rPr>
      <w:i/>
    </w:rPr>
  </w:style>
  <w:style w:type="paragraph" w:styleId="Heading8">
    <w:name w:val="heading 8"/>
    <w:basedOn w:val="Normal"/>
    <w:next w:val="Normal"/>
    <w:link w:val="Heading8Char"/>
    <w:qFormat/>
    <w:rsid w:val="000600D6"/>
    <w:pPr>
      <w:ind w:left="720"/>
      <w:outlineLvl w:val="7"/>
    </w:pPr>
    <w:rPr>
      <w:i/>
    </w:rPr>
  </w:style>
  <w:style w:type="paragraph" w:styleId="Heading9">
    <w:name w:val="heading 9"/>
    <w:basedOn w:val="Normal"/>
    <w:next w:val="Normal"/>
    <w:link w:val="Heading9Char"/>
    <w:qFormat/>
    <w:rsid w:val="000600D6"/>
    <w:pPr>
      <w:ind w:left="720"/>
      <w:outlineLvl w:val="8"/>
    </w:pPr>
    <w:rPr>
      <w:i/>
    </w:rPr>
  </w:style>
  <w:style w:type="character" w:default="1" w:styleId="DefaultParagraphFont">
    <w:name w:val="Default Paragraph Font"/>
    <w:uiPriority w:val="1"/>
    <w:unhideWhenUsed/>
    <w:rsid w:val="00060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0D6"/>
  </w:style>
  <w:style w:type="character" w:customStyle="1" w:styleId="Heading1Char">
    <w:name w:val="Heading 1 Char"/>
    <w:basedOn w:val="DefaultParagraphFont"/>
    <w:link w:val="Heading1"/>
    <w:rsid w:val="000600D6"/>
    <w:rPr>
      <w:rFonts w:ascii="Times New Roman" w:eastAsia="Times New Roman" w:hAnsi="Times New Roman" w:cs="Times New Roman"/>
      <w:b/>
      <w:sz w:val="32"/>
      <w:szCs w:val="20"/>
      <w:lang w:eastAsia="en-US"/>
    </w:rPr>
  </w:style>
  <w:style w:type="paragraph" w:styleId="BodyText">
    <w:name w:val="Body Text"/>
    <w:basedOn w:val="Normal"/>
    <w:link w:val="BodyTextChar"/>
    <w:rsid w:val="00060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0D6"/>
    <w:rPr>
      <w:rFonts w:ascii="Times New Roman" w:eastAsia="Times New Roman" w:hAnsi="Times New Roman" w:cs="Times New Roman"/>
      <w:sz w:val="24"/>
      <w:lang w:eastAsia="en-US"/>
    </w:rPr>
  </w:style>
  <w:style w:type="paragraph" w:styleId="ListBullet">
    <w:name w:val="List Bullet"/>
    <w:basedOn w:val="List"/>
    <w:rsid w:val="000600D6"/>
    <w:pPr>
      <w:numPr>
        <w:numId w:val="12"/>
      </w:numPr>
      <w:tabs>
        <w:tab w:val="clear" w:pos="340"/>
      </w:tabs>
      <w:spacing w:before="40" w:after="40"/>
    </w:pPr>
  </w:style>
  <w:style w:type="character" w:customStyle="1" w:styleId="SpecialBold">
    <w:name w:val="Special Bold"/>
    <w:basedOn w:val="DefaultParagraphFont"/>
    <w:rsid w:val="000600D6"/>
    <w:rPr>
      <w:b/>
      <w:spacing w:val="0"/>
    </w:rPr>
  </w:style>
  <w:style w:type="paragraph" w:styleId="ListBullet2">
    <w:name w:val="List Bullet 2"/>
    <w:basedOn w:val="List2"/>
    <w:rsid w:val="000600D6"/>
    <w:pPr>
      <w:numPr>
        <w:numId w:val="13"/>
      </w:numPr>
      <w:tabs>
        <w:tab w:val="clear" w:pos="680"/>
      </w:tabs>
    </w:pPr>
  </w:style>
  <w:style w:type="paragraph" w:customStyle="1" w:styleId="SuperHeading">
    <w:name w:val="SuperHeading"/>
    <w:basedOn w:val="Normal"/>
    <w:rsid w:val="000600D6"/>
    <w:pPr>
      <w:spacing w:before="240" w:after="120"/>
      <w:outlineLvl w:val="0"/>
    </w:pPr>
    <w:rPr>
      <w:rFonts w:ascii="Times New Roman" w:hAnsi="Times New Roman"/>
      <w:b/>
      <w:sz w:val="32"/>
    </w:rPr>
  </w:style>
  <w:style w:type="paragraph" w:customStyle="1" w:styleId="AllowPageBreak">
    <w:name w:val="AllowPageBreak"/>
    <w:rsid w:val="00060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0D6"/>
    <w:rPr>
      <w:rFonts w:ascii="Courier New" w:eastAsia="Times New Roman" w:hAnsi="Courier New" w:cs="Times New Roman"/>
      <w:i/>
      <w:szCs w:val="20"/>
      <w:lang w:eastAsia="en-US"/>
    </w:rPr>
  </w:style>
  <w:style w:type="paragraph" w:customStyle="1" w:styleId="HeadingBase">
    <w:name w:val="Heading Base"/>
    <w:rsid w:val="00060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0D6"/>
    <w:pPr>
      <w:tabs>
        <w:tab w:val="right" w:leader="dot" w:pos="9072"/>
      </w:tabs>
      <w:ind w:left="567"/>
    </w:pPr>
    <w:rPr>
      <w:szCs w:val="22"/>
    </w:rPr>
  </w:style>
  <w:style w:type="paragraph" w:customStyle="1" w:styleId="TOCBase">
    <w:name w:val="TOC Base"/>
    <w:rsid w:val="00060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0D6"/>
    <w:pPr>
      <w:tabs>
        <w:tab w:val="right" w:leader="dot" w:pos="9072"/>
      </w:tabs>
      <w:spacing w:before="40" w:after="40"/>
      <w:ind w:left="284"/>
    </w:pPr>
    <w:rPr>
      <w:rFonts w:ascii="Times New Roman" w:hAnsi="Times New Roman"/>
    </w:rPr>
  </w:style>
  <w:style w:type="paragraph" w:styleId="TOC1">
    <w:name w:val="toc 1"/>
    <w:basedOn w:val="TOCBase"/>
    <w:next w:val="Normal"/>
    <w:rsid w:val="00060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0D6"/>
    <w:rPr>
      <w:rFonts w:ascii="Times New Roman" w:eastAsia="Times New Roman" w:hAnsi="Times New Roman" w:cs="Times New Roman"/>
      <w:sz w:val="16"/>
      <w:lang w:eastAsia="en-US"/>
    </w:rPr>
  </w:style>
  <w:style w:type="paragraph" w:styleId="Title">
    <w:name w:val="Title"/>
    <w:basedOn w:val="HeadingBase"/>
    <w:link w:val="TitleChar"/>
    <w:qFormat/>
    <w:rsid w:val="000600D6"/>
    <w:pPr>
      <w:spacing w:before="5040"/>
      <w:jc w:val="center"/>
    </w:pPr>
    <w:rPr>
      <w:sz w:val="48"/>
      <w:szCs w:val="72"/>
      <w:lang w:val="en-US"/>
    </w:rPr>
  </w:style>
  <w:style w:type="character" w:customStyle="1" w:styleId="TitleChar">
    <w:name w:val="Title Char"/>
    <w:basedOn w:val="DefaultParagraphFont"/>
    <w:link w:val="Title"/>
    <w:rsid w:val="00060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0D6"/>
    <w:pPr>
      <w:tabs>
        <w:tab w:val="left" w:pos="3600"/>
        <w:tab w:val="left" w:pos="3958"/>
      </w:tabs>
    </w:pPr>
  </w:style>
  <w:style w:type="paragraph" w:styleId="List">
    <w:name w:val="List"/>
    <w:basedOn w:val="BodyText"/>
    <w:next w:val="BodyText"/>
    <w:rsid w:val="000600D6"/>
    <w:pPr>
      <w:tabs>
        <w:tab w:val="left" w:pos="340"/>
      </w:tabs>
      <w:spacing w:before="60" w:after="60"/>
      <w:ind w:left="340" w:hanging="340"/>
    </w:pPr>
  </w:style>
  <w:style w:type="paragraph" w:customStyle="1" w:styleId="Note">
    <w:name w:val="Note"/>
    <w:basedOn w:val="BodyText"/>
    <w:rsid w:val="00060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0D6"/>
    <w:pPr>
      <w:framePr w:wrap="auto" w:hAnchor="text" w:y="6049"/>
    </w:pPr>
    <w:rPr>
      <w:color w:val="000000"/>
      <w:sz w:val="40"/>
    </w:rPr>
  </w:style>
  <w:style w:type="paragraph" w:customStyle="1" w:styleId="TOCTitle">
    <w:name w:val="TOCTitle"/>
    <w:basedOn w:val="Heading1"/>
    <w:rsid w:val="000600D6"/>
    <w:pPr>
      <w:spacing w:after="240"/>
      <w:jc w:val="center"/>
      <w:outlineLvl w:val="9"/>
    </w:pPr>
    <w:rPr>
      <w:caps/>
    </w:rPr>
  </w:style>
  <w:style w:type="paragraph" w:customStyle="1" w:styleId="Version">
    <w:name w:val="Version"/>
    <w:rsid w:val="00060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0D6"/>
    <w:pPr>
      <w:keepNext w:val="0"/>
      <w:tabs>
        <w:tab w:val="right" w:pos="4176"/>
      </w:tabs>
      <w:ind w:left="198" w:hanging="198"/>
    </w:pPr>
    <w:rPr>
      <w:rFonts w:ascii="Garamond" w:hAnsi="Garamond"/>
    </w:rPr>
  </w:style>
  <w:style w:type="paragraph" w:styleId="IndexHeading">
    <w:name w:val="index heading"/>
    <w:basedOn w:val="Normal"/>
    <w:next w:val="Index1"/>
    <w:semiHidden/>
    <w:rsid w:val="000600D6"/>
    <w:pPr>
      <w:spacing w:before="120" w:after="120"/>
    </w:pPr>
    <w:rPr>
      <w:rFonts w:ascii="Arial" w:hAnsi="Arial"/>
      <w:b/>
      <w:color w:val="918585"/>
      <w:sz w:val="24"/>
    </w:rPr>
  </w:style>
  <w:style w:type="paragraph" w:styleId="Header">
    <w:name w:val="header"/>
    <w:basedOn w:val="Normal"/>
    <w:link w:val="HeaderChar"/>
    <w:rsid w:val="00060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0D6"/>
    <w:rPr>
      <w:rFonts w:ascii="Times New Roman" w:eastAsia="Times New Roman" w:hAnsi="Times New Roman" w:cs="Times New Roman"/>
      <w:sz w:val="16"/>
      <w:szCs w:val="20"/>
      <w:lang w:val="en-GB" w:eastAsia="en-US"/>
    </w:rPr>
  </w:style>
  <w:style w:type="paragraph" w:customStyle="1" w:styleId="Chapter">
    <w:name w:val="Chapter"/>
    <w:basedOn w:val="Normal"/>
    <w:rsid w:val="000600D6"/>
    <w:pPr>
      <w:spacing w:before="240"/>
    </w:pPr>
    <w:rPr>
      <w:rFonts w:ascii="Times New Roman" w:hAnsi="Times New Roman"/>
      <w:smallCaps/>
      <w:spacing w:val="80"/>
      <w:sz w:val="28"/>
    </w:rPr>
  </w:style>
  <w:style w:type="paragraph" w:customStyle="1" w:styleId="InChapter">
    <w:name w:val="InChapter"/>
    <w:basedOn w:val="Heading3"/>
    <w:rsid w:val="000600D6"/>
    <w:pPr>
      <w:spacing w:after="240"/>
      <w:outlineLvl w:val="9"/>
    </w:pPr>
    <w:rPr>
      <w:noProof/>
    </w:rPr>
  </w:style>
  <w:style w:type="paragraph" w:styleId="Index2">
    <w:name w:val="index 2"/>
    <w:basedOn w:val="Normal"/>
    <w:next w:val="Normal"/>
    <w:semiHidden/>
    <w:rsid w:val="000600D6"/>
    <w:pPr>
      <w:tabs>
        <w:tab w:val="right" w:pos="4176"/>
      </w:tabs>
      <w:ind w:left="568" w:hanging="284"/>
    </w:pPr>
    <w:rPr>
      <w:rFonts w:ascii="Garamond" w:hAnsi="Garamond"/>
    </w:rPr>
  </w:style>
  <w:style w:type="paragraph" w:customStyle="1" w:styleId="Byline">
    <w:name w:val="Byline"/>
    <w:rsid w:val="00060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0D6"/>
    <w:pPr>
      <w:tabs>
        <w:tab w:val="clear" w:pos="3600"/>
        <w:tab w:val="clear" w:pos="3958"/>
      </w:tabs>
      <w:jc w:val="right"/>
    </w:pPr>
  </w:style>
  <w:style w:type="character" w:styleId="Emphasis">
    <w:name w:val="Emphasis"/>
    <w:basedOn w:val="DefaultParagraphFont"/>
    <w:qFormat/>
    <w:rsid w:val="000600D6"/>
    <w:rPr>
      <w:i/>
    </w:rPr>
  </w:style>
  <w:style w:type="paragraph" w:styleId="Caption">
    <w:name w:val="caption"/>
    <w:basedOn w:val="BodyText"/>
    <w:next w:val="Normal"/>
    <w:qFormat/>
    <w:rsid w:val="000600D6"/>
    <w:pPr>
      <w:framePr w:w="2268" w:hSpace="181" w:vSpace="181" w:wrap="around" w:vAnchor="text" w:hAnchor="page" w:x="1135" w:y="285" w:anchorLock="1"/>
    </w:pPr>
    <w:rPr>
      <w:i/>
    </w:rPr>
  </w:style>
  <w:style w:type="paragraph" w:customStyle="1" w:styleId="MiniTOCTitle">
    <w:name w:val="MiniTOCTitle"/>
    <w:basedOn w:val="Heading4"/>
    <w:rsid w:val="000600D6"/>
    <w:pPr>
      <w:spacing w:before="240"/>
      <w:outlineLvl w:val="9"/>
    </w:pPr>
    <w:rPr>
      <w:noProof/>
      <w:sz w:val="24"/>
    </w:rPr>
  </w:style>
  <w:style w:type="paragraph" w:customStyle="1" w:styleId="MiniTOCItem">
    <w:name w:val="MiniTOCItem"/>
    <w:basedOn w:val="ListBullet"/>
    <w:rsid w:val="000600D6"/>
    <w:pPr>
      <w:numPr>
        <w:numId w:val="0"/>
      </w:numPr>
      <w:tabs>
        <w:tab w:val="right" w:leader="dot" w:pos="6521"/>
      </w:tabs>
      <w:spacing w:before="0" w:after="0"/>
    </w:pPr>
  </w:style>
  <w:style w:type="paragraph" w:customStyle="1" w:styleId="TOFTitle">
    <w:name w:val="TOFTitle"/>
    <w:basedOn w:val="TOCTitle"/>
    <w:rsid w:val="000600D6"/>
  </w:style>
  <w:style w:type="paragraph" w:styleId="TableofFigures">
    <w:name w:val="table of figures"/>
    <w:basedOn w:val="Normal"/>
    <w:next w:val="Normal"/>
    <w:semiHidden/>
    <w:rsid w:val="000600D6"/>
    <w:pPr>
      <w:tabs>
        <w:tab w:val="right" w:leader="dot" w:pos="9072"/>
      </w:tabs>
      <w:ind w:left="970" w:hanging="403"/>
    </w:pPr>
    <w:rPr>
      <w:rFonts w:ascii="Times New Roman" w:hAnsi="Times New Roman"/>
      <w:b/>
    </w:rPr>
  </w:style>
  <w:style w:type="paragraph" w:styleId="ListNumber">
    <w:name w:val="List Number"/>
    <w:basedOn w:val="List"/>
    <w:rsid w:val="000600D6"/>
    <w:pPr>
      <w:numPr>
        <w:numId w:val="15"/>
      </w:numPr>
      <w:tabs>
        <w:tab w:val="clear" w:pos="340"/>
      </w:tabs>
    </w:pPr>
  </w:style>
  <w:style w:type="character" w:customStyle="1" w:styleId="WingdingSymbols">
    <w:name w:val="Wingding Symbols"/>
    <w:rsid w:val="000600D6"/>
    <w:rPr>
      <w:rFonts w:ascii="Wingdings" w:hAnsi="Wingdings"/>
    </w:rPr>
  </w:style>
  <w:style w:type="paragraph" w:customStyle="1" w:styleId="TableHeading">
    <w:name w:val="Table Heading"/>
    <w:basedOn w:val="HeadingBase"/>
    <w:rsid w:val="000600D6"/>
    <w:pPr>
      <w:keepLines/>
      <w:pBdr>
        <w:bottom w:val="single" w:sz="6" w:space="1" w:color="918585"/>
      </w:pBdr>
      <w:spacing w:before="240"/>
    </w:pPr>
  </w:style>
  <w:style w:type="character" w:customStyle="1" w:styleId="HotSpot">
    <w:name w:val="HotSpot"/>
    <w:rsid w:val="000600D6"/>
    <w:rPr>
      <w:color w:val="0033CC"/>
      <w:u w:val="none"/>
    </w:rPr>
  </w:style>
  <w:style w:type="paragraph" w:customStyle="1" w:styleId="BodyTextRight">
    <w:name w:val="Body Text Right"/>
    <w:basedOn w:val="BodyText"/>
    <w:rsid w:val="000600D6"/>
    <w:pPr>
      <w:spacing w:before="0" w:after="0"/>
      <w:jc w:val="right"/>
    </w:pPr>
  </w:style>
  <w:style w:type="paragraph" w:styleId="Index3">
    <w:name w:val="index 3"/>
    <w:basedOn w:val="ListNumber2"/>
    <w:next w:val="Normal"/>
    <w:semiHidden/>
    <w:rsid w:val="000600D6"/>
    <w:pPr>
      <w:numPr>
        <w:numId w:val="0"/>
      </w:numPr>
      <w:tabs>
        <w:tab w:val="right" w:leader="dot" w:pos="4176"/>
      </w:tabs>
    </w:pPr>
  </w:style>
  <w:style w:type="paragraph" w:styleId="ListNumber2">
    <w:name w:val="List Number 2"/>
    <w:basedOn w:val="List2"/>
    <w:rsid w:val="000600D6"/>
    <w:pPr>
      <w:numPr>
        <w:numId w:val="10"/>
      </w:numPr>
      <w:tabs>
        <w:tab w:val="clear" w:pos="1060"/>
      </w:tabs>
    </w:pPr>
  </w:style>
  <w:style w:type="paragraph" w:customStyle="1" w:styleId="MarginNote">
    <w:name w:val="Margin Note"/>
    <w:basedOn w:val="BodyText"/>
    <w:rsid w:val="00060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0D6"/>
    <w:rPr>
      <w:sz w:val="32"/>
    </w:rPr>
  </w:style>
  <w:style w:type="paragraph" w:customStyle="1" w:styleId="HeadingProcedure">
    <w:name w:val="Heading Procedure"/>
    <w:basedOn w:val="HeadingBase"/>
    <w:next w:val="Normal"/>
    <w:rsid w:val="000600D6"/>
    <w:pPr>
      <w:tabs>
        <w:tab w:val="left" w:pos="0"/>
      </w:tabs>
      <w:spacing w:before="120" w:after="60"/>
    </w:pPr>
    <w:rPr>
      <w:i/>
      <w:color w:val="918585"/>
      <w:sz w:val="22"/>
    </w:rPr>
  </w:style>
  <w:style w:type="paragraph" w:customStyle="1" w:styleId="TableBodyText">
    <w:name w:val="Table Body Text"/>
    <w:basedOn w:val="BodyText"/>
    <w:rsid w:val="000600D6"/>
    <w:pPr>
      <w:spacing w:before="60" w:after="60"/>
    </w:pPr>
  </w:style>
  <w:style w:type="paragraph" w:styleId="ListContinue">
    <w:name w:val="List Continue"/>
    <w:basedOn w:val="List"/>
    <w:rsid w:val="000600D6"/>
    <w:pPr>
      <w:ind w:firstLine="0"/>
    </w:pPr>
  </w:style>
  <w:style w:type="paragraph" w:customStyle="1" w:styleId="ListNote">
    <w:name w:val="List Note"/>
    <w:basedOn w:val="List"/>
    <w:rsid w:val="000600D6"/>
    <w:pPr>
      <w:pBdr>
        <w:top w:val="single" w:sz="6" w:space="2" w:color="918585"/>
        <w:bottom w:val="single" w:sz="6" w:space="2" w:color="918585"/>
      </w:pBdr>
      <w:tabs>
        <w:tab w:val="left" w:pos="1021"/>
      </w:tabs>
      <w:ind w:firstLine="0"/>
    </w:pPr>
  </w:style>
  <w:style w:type="paragraph" w:customStyle="1" w:styleId="Warning">
    <w:name w:val="Warning"/>
    <w:basedOn w:val="BodyText"/>
    <w:rsid w:val="000600D6"/>
    <w:pPr>
      <w:shd w:val="clear" w:color="auto" w:fill="D9D9D9"/>
      <w:tabs>
        <w:tab w:val="left" w:pos="992"/>
      </w:tabs>
      <w:ind w:left="119" w:right="119"/>
    </w:pPr>
    <w:rPr>
      <w:sz w:val="20"/>
    </w:rPr>
  </w:style>
  <w:style w:type="paragraph" w:customStyle="1" w:styleId="MarginIcons">
    <w:name w:val="Margin Icons"/>
    <w:basedOn w:val="BodyText"/>
    <w:rsid w:val="00060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0D6"/>
    <w:rPr>
      <w:rFonts w:ascii="Courier New" w:hAnsi="Courier New"/>
    </w:rPr>
  </w:style>
  <w:style w:type="paragraph" w:customStyle="1" w:styleId="NoteBullet">
    <w:name w:val="Note Bullet"/>
    <w:basedOn w:val="Note"/>
    <w:rsid w:val="000600D6"/>
    <w:pPr>
      <w:tabs>
        <w:tab w:val="clear" w:pos="680"/>
      </w:tabs>
      <w:spacing w:before="60" w:after="60"/>
    </w:pPr>
  </w:style>
  <w:style w:type="paragraph" w:customStyle="1" w:styleId="SubHeading2">
    <w:name w:val="SubHeading2"/>
    <w:basedOn w:val="HeadingBase"/>
    <w:rsid w:val="000600D6"/>
    <w:pPr>
      <w:spacing w:before="240" w:after="60"/>
    </w:pPr>
    <w:rPr>
      <w:sz w:val="20"/>
    </w:rPr>
  </w:style>
  <w:style w:type="paragraph" w:customStyle="1" w:styleId="SubHeading1">
    <w:name w:val="SubHeading1"/>
    <w:basedOn w:val="HeadingBase"/>
    <w:rsid w:val="000600D6"/>
    <w:pPr>
      <w:spacing w:before="240" w:after="60"/>
    </w:pPr>
    <w:rPr>
      <w:color w:val="918585"/>
      <w:sz w:val="22"/>
    </w:rPr>
  </w:style>
  <w:style w:type="paragraph" w:customStyle="1" w:styleId="SideHeading">
    <w:name w:val="Side Heading"/>
    <w:basedOn w:val="HeadingBase"/>
    <w:rsid w:val="00060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0D6"/>
    <w:pPr>
      <w:tabs>
        <w:tab w:val="num" w:pos="360"/>
      </w:tabs>
    </w:pPr>
  </w:style>
  <w:style w:type="paragraph" w:styleId="PlainText">
    <w:name w:val="Plain Text"/>
    <w:basedOn w:val="Normal"/>
    <w:link w:val="PlainTextChar"/>
    <w:rsid w:val="000600D6"/>
    <w:rPr>
      <w:sz w:val="20"/>
    </w:rPr>
  </w:style>
  <w:style w:type="character" w:customStyle="1" w:styleId="PlainTextChar">
    <w:name w:val="Plain Text Char"/>
    <w:basedOn w:val="DefaultParagraphFont"/>
    <w:link w:val="PlainText"/>
    <w:rsid w:val="000600D6"/>
    <w:rPr>
      <w:rFonts w:ascii="Courier New" w:eastAsia="Times New Roman" w:hAnsi="Courier New" w:cs="Times New Roman"/>
      <w:sz w:val="20"/>
      <w:szCs w:val="20"/>
      <w:lang w:eastAsia="en-US"/>
    </w:rPr>
  </w:style>
  <w:style w:type="character" w:customStyle="1" w:styleId="MenuOption">
    <w:name w:val="Menu Option"/>
    <w:basedOn w:val="DefaultParagraphFont"/>
    <w:rsid w:val="000600D6"/>
    <w:rPr>
      <w:b/>
      <w:smallCaps/>
    </w:rPr>
  </w:style>
  <w:style w:type="paragraph" w:customStyle="1" w:styleId="TableListNumber">
    <w:name w:val="Table List Number"/>
    <w:basedOn w:val="ListNumber"/>
    <w:rsid w:val="000600D6"/>
    <w:pPr>
      <w:numPr>
        <w:numId w:val="0"/>
      </w:numPr>
    </w:pPr>
  </w:style>
  <w:style w:type="paragraph" w:styleId="TOC4">
    <w:name w:val="toc 4"/>
    <w:basedOn w:val="TOCBase"/>
    <w:next w:val="Normal"/>
    <w:semiHidden/>
    <w:rsid w:val="000600D6"/>
    <w:pPr>
      <w:tabs>
        <w:tab w:val="right" w:leader="dot" w:pos="9071"/>
      </w:tabs>
      <w:ind w:left="1701"/>
    </w:pPr>
  </w:style>
  <w:style w:type="paragraph" w:customStyle="1" w:styleId="ListAlpha">
    <w:name w:val="List Alpha"/>
    <w:basedOn w:val="List"/>
    <w:rsid w:val="000600D6"/>
    <w:pPr>
      <w:numPr>
        <w:numId w:val="9"/>
      </w:numPr>
    </w:pPr>
  </w:style>
  <w:style w:type="paragraph" w:customStyle="1" w:styleId="ListAlpha2">
    <w:name w:val="List Alpha 2"/>
    <w:basedOn w:val="List2"/>
    <w:rsid w:val="000600D6"/>
    <w:pPr>
      <w:numPr>
        <w:numId w:val="8"/>
      </w:numPr>
    </w:pPr>
  </w:style>
  <w:style w:type="paragraph" w:styleId="List2">
    <w:name w:val="List 2"/>
    <w:basedOn w:val="BodyText"/>
    <w:rsid w:val="000600D6"/>
    <w:pPr>
      <w:tabs>
        <w:tab w:val="left" w:pos="680"/>
      </w:tabs>
      <w:spacing w:before="60" w:after="60"/>
      <w:ind w:left="680" w:hanging="340"/>
    </w:pPr>
  </w:style>
  <w:style w:type="paragraph" w:styleId="List3">
    <w:name w:val="List 3"/>
    <w:basedOn w:val="BodyText"/>
    <w:rsid w:val="000600D6"/>
    <w:pPr>
      <w:tabs>
        <w:tab w:val="left" w:pos="1021"/>
      </w:tabs>
      <w:spacing w:before="60" w:after="60"/>
      <w:ind w:left="1020" w:hanging="340"/>
    </w:pPr>
  </w:style>
  <w:style w:type="paragraph" w:styleId="List4">
    <w:name w:val="List 4"/>
    <w:basedOn w:val="BodyText"/>
    <w:rsid w:val="000600D6"/>
    <w:pPr>
      <w:tabs>
        <w:tab w:val="left" w:pos="1361"/>
      </w:tabs>
      <w:spacing w:before="60" w:after="60"/>
      <w:ind w:left="1361" w:hanging="340"/>
    </w:pPr>
  </w:style>
  <w:style w:type="paragraph" w:styleId="List5">
    <w:name w:val="List 5"/>
    <w:basedOn w:val="BodyText"/>
    <w:rsid w:val="000600D6"/>
    <w:pPr>
      <w:tabs>
        <w:tab w:val="left" w:pos="1701"/>
      </w:tabs>
      <w:spacing w:before="60" w:after="60"/>
      <w:ind w:left="1701" w:hanging="340"/>
    </w:pPr>
  </w:style>
  <w:style w:type="paragraph" w:styleId="ListBullet3">
    <w:name w:val="List Bullet 3"/>
    <w:basedOn w:val="List3"/>
    <w:rsid w:val="000600D6"/>
    <w:pPr>
      <w:numPr>
        <w:numId w:val="14"/>
      </w:numPr>
      <w:tabs>
        <w:tab w:val="clear" w:pos="1021"/>
      </w:tabs>
      <w:ind w:left="1037" w:hanging="357"/>
    </w:pPr>
  </w:style>
  <w:style w:type="paragraph" w:styleId="ListBullet4">
    <w:name w:val="List Bullet 4"/>
    <w:basedOn w:val="List4"/>
    <w:rsid w:val="000600D6"/>
    <w:pPr>
      <w:numPr>
        <w:numId w:val="3"/>
      </w:numPr>
      <w:tabs>
        <w:tab w:val="clear" w:pos="1361"/>
      </w:tabs>
    </w:pPr>
  </w:style>
  <w:style w:type="paragraph" w:styleId="ListBullet5">
    <w:name w:val="List Bullet 5"/>
    <w:basedOn w:val="List5"/>
    <w:rsid w:val="000600D6"/>
    <w:pPr>
      <w:numPr>
        <w:numId w:val="4"/>
      </w:numPr>
    </w:pPr>
  </w:style>
  <w:style w:type="paragraph" w:styleId="ListContinue2">
    <w:name w:val="List Continue 2"/>
    <w:basedOn w:val="List2"/>
    <w:rsid w:val="000600D6"/>
    <w:pPr>
      <w:ind w:firstLine="0"/>
    </w:pPr>
  </w:style>
  <w:style w:type="paragraph" w:styleId="ListContinue3">
    <w:name w:val="List Continue 3"/>
    <w:basedOn w:val="List3"/>
    <w:rsid w:val="000600D6"/>
    <w:pPr>
      <w:ind w:left="1021" w:firstLine="0"/>
    </w:pPr>
  </w:style>
  <w:style w:type="paragraph" w:styleId="ListContinue4">
    <w:name w:val="List Continue 4"/>
    <w:basedOn w:val="List4"/>
    <w:rsid w:val="000600D6"/>
    <w:pPr>
      <w:ind w:firstLine="0"/>
    </w:pPr>
  </w:style>
  <w:style w:type="paragraph" w:styleId="ListContinue5">
    <w:name w:val="List Continue 5"/>
    <w:basedOn w:val="List5"/>
    <w:rsid w:val="000600D6"/>
    <w:pPr>
      <w:ind w:firstLine="0"/>
    </w:pPr>
  </w:style>
  <w:style w:type="paragraph" w:styleId="ListNumber3">
    <w:name w:val="List Number 3"/>
    <w:basedOn w:val="List3"/>
    <w:rsid w:val="000600D6"/>
    <w:pPr>
      <w:numPr>
        <w:numId w:val="5"/>
      </w:numPr>
    </w:pPr>
  </w:style>
  <w:style w:type="paragraph" w:styleId="ListNumber4">
    <w:name w:val="List Number 4"/>
    <w:basedOn w:val="List4"/>
    <w:rsid w:val="000600D6"/>
    <w:pPr>
      <w:numPr>
        <w:numId w:val="6"/>
      </w:numPr>
    </w:pPr>
  </w:style>
  <w:style w:type="paragraph" w:styleId="ListNumber5">
    <w:name w:val="List Number 5"/>
    <w:basedOn w:val="List5"/>
    <w:rsid w:val="000600D6"/>
    <w:pPr>
      <w:numPr>
        <w:numId w:val="7"/>
      </w:numPr>
    </w:pPr>
  </w:style>
  <w:style w:type="paragraph" w:styleId="BlockText">
    <w:name w:val="Block Text"/>
    <w:basedOn w:val="Normal"/>
    <w:rsid w:val="000600D6"/>
    <w:pPr>
      <w:spacing w:after="120"/>
      <w:ind w:left="1440" w:right="1440"/>
    </w:pPr>
  </w:style>
  <w:style w:type="character" w:customStyle="1" w:styleId="Subscript">
    <w:name w:val="Subscript"/>
    <w:basedOn w:val="DefaultParagraphFont"/>
    <w:rsid w:val="000600D6"/>
    <w:rPr>
      <w:sz w:val="16"/>
      <w:vertAlign w:val="subscript"/>
    </w:rPr>
  </w:style>
  <w:style w:type="character" w:customStyle="1" w:styleId="Superscript">
    <w:name w:val="Superscript"/>
    <w:basedOn w:val="DefaultParagraphFont"/>
    <w:rsid w:val="000600D6"/>
    <w:rPr>
      <w:sz w:val="16"/>
      <w:vertAlign w:val="superscript"/>
    </w:rPr>
  </w:style>
  <w:style w:type="character" w:customStyle="1" w:styleId="Symbols">
    <w:name w:val="Symbols"/>
    <w:basedOn w:val="DefaultParagraphFont"/>
    <w:rsid w:val="000600D6"/>
    <w:rPr>
      <w:rFonts w:ascii="Symbol" w:hAnsi="Symbol"/>
    </w:rPr>
  </w:style>
  <w:style w:type="character" w:customStyle="1" w:styleId="MenuOptions">
    <w:name w:val="Menu Options"/>
    <w:basedOn w:val="DefaultParagraphFont"/>
    <w:rsid w:val="000600D6"/>
    <w:rPr>
      <w:rFonts w:ascii="Arial Narrow" w:hAnsi="Arial Narrow"/>
      <w:smallCaps/>
    </w:rPr>
  </w:style>
  <w:style w:type="character" w:customStyle="1" w:styleId="Buttons">
    <w:name w:val="Buttons"/>
    <w:basedOn w:val="DefaultParagraphFont"/>
    <w:rsid w:val="000600D6"/>
    <w:rPr>
      <w:b/>
    </w:rPr>
  </w:style>
  <w:style w:type="character" w:customStyle="1" w:styleId="Underlined">
    <w:name w:val="Underlined"/>
    <w:basedOn w:val="DefaultParagraphFont"/>
    <w:rsid w:val="000600D6"/>
    <w:rPr>
      <w:u w:val="single"/>
    </w:rPr>
  </w:style>
  <w:style w:type="paragraph" w:customStyle="1" w:styleId="TableBodyTextRight">
    <w:name w:val="Table Body Text Right"/>
    <w:basedOn w:val="TableBodyText"/>
    <w:rsid w:val="000600D6"/>
    <w:pPr>
      <w:widowControl w:val="0"/>
      <w:autoSpaceDE w:val="0"/>
      <w:autoSpaceDN w:val="0"/>
      <w:adjustRightInd w:val="0"/>
      <w:jc w:val="right"/>
    </w:pPr>
    <w:rPr>
      <w:rFonts w:cs="Arial"/>
      <w:szCs w:val="18"/>
    </w:rPr>
  </w:style>
  <w:style w:type="paragraph" w:customStyle="1" w:styleId="CopyrightText">
    <w:name w:val="Copyright Text"/>
    <w:basedOn w:val="BodyText"/>
    <w:rsid w:val="000600D6"/>
    <w:rPr>
      <w:sz w:val="18"/>
    </w:rPr>
  </w:style>
  <w:style w:type="paragraph" w:customStyle="1" w:styleId="BodySmallRight">
    <w:name w:val="Body Small Right"/>
    <w:basedOn w:val="BodyTextRight"/>
    <w:rsid w:val="000600D6"/>
    <w:rPr>
      <w:sz w:val="18"/>
      <w:szCs w:val="18"/>
    </w:rPr>
  </w:style>
  <w:style w:type="paragraph" w:customStyle="1" w:styleId="MarginEdition">
    <w:name w:val="Margin Edition"/>
    <w:basedOn w:val="MarginNote"/>
    <w:rsid w:val="000600D6"/>
    <w:pPr>
      <w:spacing w:before="0" w:after="0"/>
    </w:pPr>
    <w:rPr>
      <w:rFonts w:ascii="Times New Roman" w:hAnsi="Times New Roman"/>
      <w:color w:val="999999"/>
    </w:rPr>
  </w:style>
  <w:style w:type="paragraph" w:customStyle="1" w:styleId="Spacer">
    <w:name w:val="Spacer"/>
    <w:basedOn w:val="Normal"/>
    <w:rsid w:val="000600D6"/>
    <w:rPr>
      <w:sz w:val="2"/>
      <w:szCs w:val="2"/>
    </w:rPr>
  </w:style>
  <w:style w:type="character" w:customStyle="1" w:styleId="Small">
    <w:name w:val="Small"/>
    <w:basedOn w:val="DefaultParagraphFont"/>
    <w:rsid w:val="000600D6"/>
    <w:rPr>
      <w:sz w:val="16"/>
    </w:rPr>
  </w:style>
  <w:style w:type="paragraph" w:customStyle="1" w:styleId="WideTable">
    <w:name w:val="Wide Table"/>
    <w:basedOn w:val="Normal"/>
    <w:rsid w:val="000600D6"/>
    <w:pPr>
      <w:ind w:left="-1418"/>
    </w:pPr>
    <w:rPr>
      <w:sz w:val="2"/>
      <w:szCs w:val="2"/>
    </w:rPr>
  </w:style>
  <w:style w:type="character" w:styleId="PageNumber">
    <w:name w:val="page number"/>
    <w:basedOn w:val="DefaultParagraphFont"/>
    <w:rsid w:val="000600D6"/>
  </w:style>
  <w:style w:type="paragraph" w:styleId="Quote">
    <w:name w:val="Quote"/>
    <w:basedOn w:val="Heading1"/>
    <w:link w:val="QuoteChar"/>
    <w:qFormat/>
    <w:rsid w:val="000600D6"/>
    <w:rPr>
      <w:b w:val="0"/>
      <w:sz w:val="72"/>
      <w:szCs w:val="72"/>
      <w:lang w:val="en-NZ"/>
    </w:rPr>
  </w:style>
  <w:style w:type="character" w:customStyle="1" w:styleId="QuoteChar">
    <w:name w:val="Quote Char"/>
    <w:basedOn w:val="DefaultParagraphFont"/>
    <w:link w:val="Quote"/>
    <w:rsid w:val="00060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0D6"/>
    <w:pPr>
      <w:pageBreakBefore/>
    </w:pPr>
  </w:style>
  <w:style w:type="paragraph" w:customStyle="1" w:styleId="Border">
    <w:name w:val="Border"/>
    <w:basedOn w:val="Normal"/>
    <w:qFormat/>
    <w:rsid w:val="00060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0D6"/>
    <w:rPr>
      <w:b/>
      <w:bCs/>
      <w:i/>
      <w:iCs/>
      <w:color w:val="auto"/>
    </w:rPr>
  </w:style>
  <w:style w:type="paragraph" w:styleId="IntenseQuote">
    <w:name w:val="Intense Quote"/>
    <w:basedOn w:val="Normal"/>
    <w:next w:val="Normal"/>
    <w:link w:val="IntenseQuoteChar"/>
    <w:uiPriority w:val="30"/>
    <w:qFormat/>
    <w:rsid w:val="00060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0D6"/>
    <w:rPr>
      <w:smallCaps/>
      <w:color w:val="auto"/>
      <w:u w:val="single"/>
    </w:rPr>
  </w:style>
  <w:style w:type="character" w:styleId="IntenseReference">
    <w:name w:val="Intense Reference"/>
    <w:basedOn w:val="DefaultParagraphFont"/>
    <w:uiPriority w:val="32"/>
    <w:qFormat/>
    <w:rsid w:val="000600D6"/>
    <w:rPr>
      <w:b/>
      <w:bCs/>
      <w:smallCaps/>
      <w:color w:val="auto"/>
      <w:spacing w:val="5"/>
      <w:u w:val="single"/>
    </w:rPr>
  </w:style>
  <w:style w:type="paragraph" w:customStyle="1" w:styleId="2ColumnHeading">
    <w:name w:val="2Column Heading"/>
    <w:basedOn w:val="BodyText"/>
    <w:qFormat/>
    <w:rsid w:val="000600D6"/>
    <w:pPr>
      <w:spacing w:after="60"/>
      <w:ind w:left="-2268"/>
    </w:pPr>
    <w:rPr>
      <w:b/>
    </w:rPr>
  </w:style>
  <w:style w:type="paragraph" w:customStyle="1" w:styleId="Heading1TOC">
    <w:name w:val="Heading1 TOC"/>
    <w:basedOn w:val="Normal"/>
    <w:qFormat/>
    <w:rsid w:val="000600D6"/>
    <w:pPr>
      <w:spacing w:before="240" w:after="120"/>
    </w:pPr>
    <w:rPr>
      <w:rFonts w:ascii="Times New Roman" w:hAnsi="Times New Roman"/>
      <w:b/>
      <w:sz w:val="32"/>
    </w:rPr>
  </w:style>
  <w:style w:type="paragraph" w:customStyle="1" w:styleId="Heading2TOC">
    <w:name w:val="Heading2 TOC"/>
    <w:basedOn w:val="Normal"/>
    <w:qFormat/>
    <w:rsid w:val="000600D6"/>
    <w:pPr>
      <w:spacing w:before="240" w:after="60"/>
    </w:pPr>
    <w:rPr>
      <w:rFonts w:ascii="Times New Roman" w:hAnsi="Times New Roman"/>
      <w:b/>
      <w:sz w:val="28"/>
    </w:rPr>
  </w:style>
  <w:style w:type="character" w:customStyle="1" w:styleId="Underline">
    <w:name w:val="Underline"/>
    <w:basedOn w:val="DefaultParagraphFont"/>
    <w:qFormat/>
    <w:rsid w:val="000600D6"/>
    <w:rPr>
      <w:u w:val="single"/>
    </w:rPr>
  </w:style>
  <w:style w:type="character" w:customStyle="1" w:styleId="BoldandItalics">
    <w:name w:val="Bold and Italics"/>
    <w:qFormat/>
    <w:rsid w:val="000600D6"/>
    <w:rPr>
      <w:b/>
      <w:i/>
      <w:u w:val="none"/>
    </w:rPr>
  </w:style>
  <w:style w:type="paragraph" w:styleId="BalloonText">
    <w:name w:val="Balloon Text"/>
    <w:basedOn w:val="Normal"/>
    <w:link w:val="BalloonTextChar"/>
    <w:rsid w:val="000600D6"/>
    <w:rPr>
      <w:rFonts w:ascii="Tahoma" w:hAnsi="Tahoma" w:cs="Tahoma"/>
      <w:sz w:val="16"/>
      <w:szCs w:val="16"/>
    </w:rPr>
  </w:style>
  <w:style w:type="character" w:customStyle="1" w:styleId="BalloonTextChar">
    <w:name w:val="Balloon Text Char"/>
    <w:basedOn w:val="DefaultParagraphFont"/>
    <w:link w:val="BalloonText"/>
    <w:rsid w:val="00060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0D6"/>
    <w:rPr>
      <w:b/>
      <w:color w:val="660033"/>
      <w:spacing w:val="0"/>
    </w:rPr>
  </w:style>
  <w:style w:type="paragraph" w:customStyle="1" w:styleId="Nameditemlist">
    <w:name w:val="Named item list"/>
    <w:basedOn w:val="BodyText"/>
    <w:qFormat/>
    <w:rsid w:val="000600D6"/>
    <w:pPr>
      <w:tabs>
        <w:tab w:val="left" w:pos="2835"/>
      </w:tabs>
      <w:ind w:left="2835" w:hanging="2835"/>
    </w:pPr>
  </w:style>
  <w:style w:type="paragraph" w:customStyle="1" w:styleId="BodyTextnopadding">
    <w:name w:val="Body Text no padding"/>
    <w:basedOn w:val="BodyText"/>
    <w:qFormat/>
    <w:rsid w:val="000600D6"/>
    <w:pPr>
      <w:spacing w:before="0" w:after="0"/>
    </w:pPr>
  </w:style>
  <w:style w:type="paragraph" w:customStyle="1" w:styleId="BodyTextBold">
    <w:name w:val="Body Text Bold"/>
    <w:basedOn w:val="BodyText"/>
    <w:qFormat/>
    <w:rsid w:val="000600D6"/>
    <w:rPr>
      <w:b/>
    </w:rPr>
  </w:style>
  <w:style w:type="character" w:styleId="Hyperlink">
    <w:name w:val="Hyperlink"/>
    <w:basedOn w:val="DefaultParagraphFont"/>
    <w:uiPriority w:val="99"/>
    <w:unhideWhenUsed/>
    <w:rsid w:val="00503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1162</Words>
  <Characters>7357</Characters>
  <Application>Microsoft Office Word</Application>
  <DocSecurity>0</DocSecurity>
  <Lines>367</Lines>
  <Paragraphs>230</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MEM20009 Gain entry and reinstate fire and security containers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2021-03-31T03:11:00Z</dcterms:created>
  <dcterms:modified xsi:type="dcterms:W3CDTF">2021-03-31T03:11:00Z</dcterms:modified>
</cp:coreProperties>
</file>