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627" w:rsidP="00AC56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MEM20009 Gain entry and reinstate fire and security containers</w:t>
      </w:r>
      <w:r>
        <w:fldChar w:fldCharType="end"/>
      </w:r>
    </w:p>
    <w:p w:rsidR="00AC5627" w:rsidP="00AC5627">
      <w:pPr>
        <w:pStyle w:val="Version"/>
        <w:sectPr w:rsidSect="00B102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23E" w:rsidP="00B1023E">
      <w:pPr>
        <w:pStyle w:val="SuperHeading"/>
      </w:pPr>
      <w:r w:rsidRPr="00B1023E">
        <w:t>Assessment Requirements for MEM20009 Gain entry and reinstate fire and security containers</w:t>
      </w:r>
    </w:p>
    <w:p w:rsidR="00000000" w:rsidRPr="00B1023E" w:rsidP="00B1023E">
      <w:pPr>
        <w:pStyle w:val="Heading1"/>
      </w:pPr>
      <w:bookmarkStart w:id="1" w:name="O_951004"/>
      <w:bookmarkEnd w:id="1"/>
      <w:r w:rsidRPr="00B1023E">
        <w:t>Modification History</w:t>
      </w:r>
    </w:p>
    <w:p w:rsidR="00000000" w:rsidRPr="00B1023E" w:rsidP="00AC5627">
      <w:pPr>
        <w:pStyle w:val="BodyText"/>
      </w:pPr>
      <w:r w:rsidRPr="00B1023E">
        <w:t>Release 1. Supersedes and is equivalent to MEM20009A Gain entry and reinstate fire and security containers</w:t>
      </w:r>
    </w:p>
    <w:p w:rsidR="00000000" w:rsidRPr="00B1023E" w:rsidP="00B1023E">
      <w:pPr>
        <w:pStyle w:val="Heading1"/>
      </w:pPr>
      <w:bookmarkStart w:id="2" w:name="O_951007"/>
      <w:bookmarkEnd w:id="2"/>
      <w:r w:rsidRPr="00B1023E">
        <w:t>Performance Evidence</w:t>
      </w:r>
    </w:p>
    <w:p w:rsidR="00000000" w:rsidRPr="00B1023E" w:rsidP="00AC5627">
      <w:pPr>
        <w:pStyle w:val="BodyText"/>
      </w:pPr>
      <w:r w:rsidRPr="00B1023E">
        <w:t>Evidence required to demonstrate competence in this unit must be relevant to and satisfy the requirements of the elements and performance criteria on at least two (2) occasions and include:</w:t>
      </w:r>
    </w:p>
    <w:p w:rsidR="00000000" w:rsidRPr="00B1023E" w:rsidP="00B1023E">
      <w:pPr>
        <w:pStyle w:val="ListBullet"/>
      </w:pPr>
      <w:r w:rsidRPr="00B1023E">
        <w:t>following work instructions, standard operat</w:t>
      </w:r>
      <w:r w:rsidRPr="00B1023E">
        <w:t>ing procedures (SOPs) and safe work practices</w:t>
      </w:r>
    </w:p>
    <w:p w:rsidR="00000000" w:rsidRPr="00B1023E" w:rsidP="00B1023E">
      <w:pPr>
        <w:pStyle w:val="ListBullet"/>
      </w:pPr>
      <w:r w:rsidRPr="00B1023E">
        <w:t xml:space="preserve">interpreting information specific for gaining entry </w:t>
      </w:r>
    </w:p>
    <w:p w:rsidR="00000000" w:rsidRPr="00B1023E" w:rsidP="00B1023E">
      <w:pPr>
        <w:pStyle w:val="ListBullet"/>
      </w:pPr>
      <w:r w:rsidRPr="00B1023E">
        <w:t xml:space="preserve">establishing ownership of container and its contents prior to commencing gaining entry </w:t>
      </w:r>
    </w:p>
    <w:p w:rsidR="00000000" w:rsidRPr="00B1023E" w:rsidP="00B1023E">
      <w:pPr>
        <w:pStyle w:val="ListBullet"/>
      </w:pPr>
      <w:r w:rsidRPr="00B1023E">
        <w:t xml:space="preserve">questioning, confirming and clarifying customer requirements </w:t>
      </w:r>
    </w:p>
    <w:p w:rsidR="00000000" w:rsidRPr="00B1023E" w:rsidP="00B1023E">
      <w:pPr>
        <w:pStyle w:val="ListBullet"/>
      </w:pPr>
      <w:r w:rsidRPr="00B1023E">
        <w:t>communi</w:t>
      </w:r>
      <w:r w:rsidRPr="00B1023E">
        <w:t>cation with the customer as required throughout the entry and reinstatement process</w:t>
      </w:r>
    </w:p>
    <w:p w:rsidR="00000000" w:rsidRPr="00B1023E" w:rsidP="00B1023E">
      <w:pPr>
        <w:pStyle w:val="ListBullet"/>
      </w:pPr>
      <w:r w:rsidRPr="00B1023E">
        <w:t>identifying the safe type and associated equipment and checking function of safe locking systems</w:t>
      </w:r>
    </w:p>
    <w:p w:rsidR="00000000" w:rsidRPr="00B1023E" w:rsidP="00B1023E">
      <w:pPr>
        <w:pStyle w:val="ListBullet"/>
      </w:pPr>
      <w:r w:rsidRPr="00B1023E">
        <w:t xml:space="preserve">tracing faults and selecting the appropriate entry method </w:t>
      </w:r>
    </w:p>
    <w:p w:rsidR="00000000" w:rsidRPr="00B1023E" w:rsidP="00B1023E">
      <w:pPr>
        <w:pStyle w:val="ListBullet"/>
      </w:pPr>
      <w:r w:rsidRPr="00B1023E">
        <w:t>gaining entry us</w:t>
      </w:r>
      <w:r w:rsidRPr="00B1023E">
        <w:t xml:space="preserve">ing appropriate tools and equipment </w:t>
      </w:r>
    </w:p>
    <w:p w:rsidR="00000000" w:rsidRPr="00B1023E" w:rsidP="00B1023E">
      <w:pPr>
        <w:pStyle w:val="ListBullet"/>
      </w:pPr>
      <w:r w:rsidRPr="00B1023E">
        <w:t>identifying actual and potential risks and hazards and implementing control measures</w:t>
      </w:r>
    </w:p>
    <w:p w:rsidR="00000000" w:rsidRPr="00B1023E" w:rsidP="00B1023E">
      <w:pPr>
        <w:pStyle w:val="ListBullet"/>
      </w:pPr>
      <w:r w:rsidRPr="00B1023E">
        <w:t>undertaking numerical operations and calculations associated with gaining entry and reinstating fire and security containers</w:t>
      </w:r>
    </w:p>
    <w:p w:rsidR="00000000" w:rsidRPr="00B1023E" w:rsidP="00B1023E">
      <w:pPr>
        <w:pStyle w:val="ListBullet"/>
      </w:pPr>
      <w:r w:rsidRPr="00B1023E">
        <w:t>disassemb</w:t>
      </w:r>
      <w:r w:rsidRPr="00B1023E">
        <w:t xml:space="preserve">ling/ reassembling lock assemblies and components and selecting materials and consumables </w:t>
      </w:r>
    </w:p>
    <w:p w:rsidR="00000000" w:rsidRPr="00B1023E" w:rsidP="00B1023E">
      <w:pPr>
        <w:pStyle w:val="ListBullet"/>
      </w:pPr>
      <w:r w:rsidRPr="00B1023E">
        <w:t>identifying alternative servicing and repair options in accordance with SOPs</w:t>
      </w:r>
    </w:p>
    <w:p w:rsidR="00000000" w:rsidRPr="00B1023E" w:rsidP="00B1023E">
      <w:pPr>
        <w:pStyle w:val="ListBullet"/>
      </w:pPr>
      <w:r w:rsidRPr="00B1023E">
        <w:t>cleaning worksite in accordance with original presentation, client requirements, industr</w:t>
      </w:r>
      <w:r w:rsidRPr="00B1023E">
        <w:t xml:space="preserve">y standards and SOPs </w:t>
      </w:r>
    </w:p>
    <w:p w:rsidR="00000000" w:rsidRPr="00B1023E" w:rsidP="00B1023E">
      <w:pPr>
        <w:pStyle w:val="ListBullet"/>
      </w:pPr>
      <w:r w:rsidRPr="00B1023E">
        <w:t>completing all documentation in accordance with SOPs.</w:t>
      </w:r>
    </w:p>
    <w:p w:rsidR="00000000" w:rsidRPr="00B1023E" w:rsidP="00B1023E">
      <w:pPr>
        <w:pStyle w:val="AllowPageBreak"/>
      </w:pPr>
    </w:p>
    <w:p w:rsidR="00000000" w:rsidRPr="00B1023E" w:rsidP="00B1023E">
      <w:pPr>
        <w:pStyle w:val="Heading1"/>
      </w:pPr>
      <w:bookmarkStart w:id="3" w:name="O_951006"/>
      <w:bookmarkEnd w:id="3"/>
      <w:r w:rsidRPr="00B1023E">
        <w:t>Knowledge Evidence</w:t>
      </w:r>
    </w:p>
    <w:p w:rsidR="00000000" w:rsidRPr="00B1023E" w:rsidP="00AC5627">
      <w:pPr>
        <w:pStyle w:val="BodyText"/>
      </w:pPr>
      <w:r w:rsidRPr="00B1023E">
        <w:t>Evidence required to</w:t>
      </w:r>
      <w:r w:rsidRPr="00B1023E">
        <w:t xml:space="preserve"> demonstrate the required knowledge for this unit must be relevant to and satisfy the requirements of the elements and performance criteria and include knowledge of:</w:t>
      </w:r>
    </w:p>
    <w:p w:rsidR="00000000" w:rsidRPr="00B1023E" w:rsidP="00B1023E">
      <w:pPr>
        <w:pStyle w:val="ListBullet"/>
      </w:pPr>
      <w:r w:rsidRPr="00B1023E">
        <w:t>safe work practices and procedures and use of personal protective equipment (PPE)</w:t>
      </w:r>
    </w:p>
    <w:p w:rsidR="00000000" w:rsidRPr="00B1023E" w:rsidP="00B1023E">
      <w:pPr>
        <w:pStyle w:val="ListBullet"/>
      </w:pPr>
      <w:r w:rsidRPr="00B1023E">
        <w:t>legisla</w:t>
      </w:r>
      <w:r w:rsidRPr="00B1023E">
        <w:t xml:space="preserve">tion, codes, regulations and standards applicable to gaining entry to fire and security containers </w:t>
      </w:r>
    </w:p>
    <w:p w:rsidR="00000000" w:rsidRPr="00B1023E" w:rsidP="00B1023E">
      <w:pPr>
        <w:pStyle w:val="ListBullet"/>
      </w:pPr>
      <w:r w:rsidRPr="00B1023E">
        <w:t xml:space="preserve">sources of specifications and other relevant information for safe locking systems </w:t>
      </w:r>
    </w:p>
    <w:p w:rsidR="00000000" w:rsidRPr="00B1023E" w:rsidP="00B1023E">
      <w:pPr>
        <w:pStyle w:val="ListBullet"/>
      </w:pPr>
      <w:r w:rsidRPr="00B1023E">
        <w:t>types and classes of safes and locks</w:t>
      </w:r>
    </w:p>
    <w:p w:rsidR="00000000" w:rsidRPr="00B1023E" w:rsidP="00B1023E">
      <w:pPr>
        <w:pStyle w:val="ListBullet"/>
      </w:pPr>
      <w:r w:rsidRPr="00B1023E">
        <w:t>barrier materials used</w:t>
      </w:r>
    </w:p>
    <w:p w:rsidR="00000000" w:rsidRPr="00B1023E" w:rsidP="00B1023E">
      <w:pPr>
        <w:pStyle w:val="ListBullet"/>
      </w:pPr>
      <w:r w:rsidRPr="00B1023E">
        <w:t>tools and equ</w:t>
      </w:r>
      <w:r w:rsidRPr="00B1023E">
        <w:t>ipment to suit entry to specific safes</w:t>
      </w:r>
    </w:p>
    <w:p w:rsidR="00000000" w:rsidRPr="00B1023E" w:rsidP="00B1023E">
      <w:pPr>
        <w:pStyle w:val="ListBullet"/>
      </w:pPr>
      <w:r w:rsidRPr="00B1023E">
        <w:t>components of safe locking systems</w:t>
      </w:r>
    </w:p>
    <w:p w:rsidR="00000000" w:rsidRPr="00B1023E" w:rsidP="00B1023E">
      <w:pPr>
        <w:pStyle w:val="ListBullet"/>
      </w:pPr>
      <w:r w:rsidRPr="00B1023E">
        <w:t>principles of safe systems and component function</w:t>
      </w:r>
    </w:p>
    <w:p w:rsidR="00000000" w:rsidRPr="00B1023E" w:rsidP="00B1023E">
      <w:pPr>
        <w:pStyle w:val="ListBullet"/>
      </w:pPr>
      <w:r w:rsidRPr="00B1023E">
        <w:t xml:space="preserve">operating principles and technical terminology of safes </w:t>
      </w:r>
    </w:p>
    <w:p w:rsidR="00000000" w:rsidRPr="00B1023E" w:rsidP="00B1023E">
      <w:pPr>
        <w:pStyle w:val="ListBullet"/>
      </w:pPr>
      <w:r w:rsidRPr="00B1023E">
        <w:t>ethical considerations in locksmithing work</w:t>
      </w:r>
    </w:p>
    <w:p w:rsidR="00000000" w:rsidRPr="00B1023E" w:rsidP="00B1023E">
      <w:pPr>
        <w:pStyle w:val="ListBullet"/>
      </w:pPr>
      <w:r w:rsidRPr="00B1023E">
        <w:t>operation of specific locks</w:t>
      </w:r>
    </w:p>
    <w:p w:rsidR="00000000" w:rsidRPr="00B1023E" w:rsidP="00B1023E">
      <w:pPr>
        <w:pStyle w:val="ListBullet"/>
      </w:pPr>
      <w:r w:rsidRPr="00B1023E">
        <w:t>com</w:t>
      </w:r>
      <w:r w:rsidRPr="00B1023E">
        <w:t xml:space="preserve">mon safe design problems and servicing issues and faults arising from vandalism, misuse and wear </w:t>
      </w:r>
    </w:p>
    <w:p w:rsidR="00000000" w:rsidRPr="00B1023E" w:rsidP="00B1023E">
      <w:pPr>
        <w:pStyle w:val="ListBullet"/>
      </w:pPr>
      <w:r w:rsidRPr="00B1023E">
        <w:t>checks and tests to confirm service requirements</w:t>
      </w:r>
    </w:p>
    <w:p w:rsidR="00000000" w:rsidRPr="00B1023E" w:rsidP="00B1023E">
      <w:pPr>
        <w:pStyle w:val="ListBullet"/>
      </w:pPr>
      <w:r w:rsidRPr="00B1023E">
        <w:t>organisational procedures for establishing service requirements</w:t>
      </w:r>
    </w:p>
    <w:p w:rsidR="00000000" w:rsidRPr="00B1023E" w:rsidP="00B1023E">
      <w:pPr>
        <w:pStyle w:val="ListBullet"/>
      </w:pPr>
      <w:r w:rsidRPr="00B1023E">
        <w:t>procedures to establish and verify safe and c</w:t>
      </w:r>
      <w:r w:rsidRPr="00B1023E">
        <w:t xml:space="preserve">ontents ownership and obligations, responsibilities, disclaimers and reasons for verifying ownership </w:t>
      </w:r>
    </w:p>
    <w:p w:rsidR="00000000" w:rsidRPr="00B1023E" w:rsidP="00B1023E">
      <w:pPr>
        <w:pStyle w:val="ListBullet"/>
      </w:pPr>
      <w:r w:rsidRPr="00B1023E">
        <w:t>factors impacting on feasibility of repair or replacement</w:t>
      </w:r>
    </w:p>
    <w:p w:rsidR="00000000" w:rsidRPr="00B1023E" w:rsidP="00B1023E">
      <w:pPr>
        <w:pStyle w:val="ListBullet"/>
      </w:pPr>
      <w:r w:rsidRPr="00B1023E">
        <w:t>dismantling and assembly procedures for a range of safe locks and reasons for care and precision</w:t>
      </w:r>
    </w:p>
    <w:p w:rsidR="00000000" w:rsidRPr="00B1023E" w:rsidP="00B1023E">
      <w:pPr>
        <w:pStyle w:val="ListBullet"/>
      </w:pPr>
      <w:r w:rsidRPr="00B1023E">
        <w:t>procedures for replacing worn and damaged parts, removing foreign objects and lubricating, packing and sealing components</w:t>
      </w:r>
    </w:p>
    <w:p w:rsidR="00000000" w:rsidRPr="00B1023E" w:rsidP="00B1023E">
      <w:pPr>
        <w:pStyle w:val="ListBullet"/>
      </w:pPr>
      <w:r w:rsidRPr="00B1023E">
        <w:t>SOPs for cleaning and storage</w:t>
      </w:r>
    </w:p>
    <w:p w:rsidR="00000000" w:rsidRPr="00B1023E" w:rsidP="00B1023E">
      <w:pPr>
        <w:pStyle w:val="ListBullet"/>
      </w:pPr>
      <w:r w:rsidRPr="00B1023E">
        <w:t xml:space="preserve">key blanks to suit model and mechanical/electronic part of lock </w:t>
      </w:r>
    </w:p>
    <w:p w:rsidR="00000000" w:rsidRPr="00B1023E" w:rsidP="00B1023E">
      <w:pPr>
        <w:pStyle w:val="ListBullet"/>
      </w:pPr>
      <w:r w:rsidRPr="00B1023E">
        <w:t>programming and operating procedures f</w:t>
      </w:r>
      <w:r w:rsidRPr="00B1023E">
        <w:t>or electronic locks</w:t>
      </w:r>
    </w:p>
    <w:p w:rsidR="00000000" w:rsidRPr="00B1023E" w:rsidP="00B1023E">
      <w:pPr>
        <w:pStyle w:val="ListBullet"/>
      </w:pPr>
      <w:r w:rsidRPr="00B1023E">
        <w:t>documentation and recording procedures.</w:t>
      </w:r>
    </w:p>
    <w:p w:rsidR="00000000" w:rsidRPr="00B1023E" w:rsidP="00B1023E">
      <w:pPr>
        <w:pStyle w:val="AllowPageBreak"/>
      </w:pPr>
    </w:p>
    <w:p w:rsidR="00000000" w:rsidRPr="00B1023E" w:rsidP="00B1023E">
      <w:pPr>
        <w:pStyle w:val="Heading1"/>
      </w:pPr>
      <w:bookmarkStart w:id="4" w:name="O_951005"/>
      <w:bookmarkEnd w:id="4"/>
      <w:r w:rsidRPr="00B1023E">
        <w:t>Assessment Conditions</w:t>
      </w:r>
    </w:p>
    <w:p w:rsidR="00000000" w:rsidRPr="00B1023E" w:rsidP="00B1023E">
      <w:pPr>
        <w:pStyle w:val="ListBullet"/>
      </w:pPr>
      <w:r w:rsidRPr="00B1023E">
        <w:t>Assessors must:</w:t>
      </w:r>
    </w:p>
    <w:p w:rsidR="00000000" w:rsidRPr="00B1023E" w:rsidP="00B1023E">
      <w:pPr>
        <w:pStyle w:val="ListBullet2"/>
      </w:pPr>
      <w:r w:rsidRPr="00B1023E">
        <w:t xml:space="preserve">have vocational competency in gaining entry and reinstating fire and security containers at </w:t>
      </w:r>
      <w:r w:rsidRPr="00B1023E">
        <w:t>least to the level being assessed with relevant industry knowledge and experience</w:t>
      </w:r>
    </w:p>
    <w:p w:rsidR="00000000" w:rsidRPr="00B1023E" w:rsidP="00B1023E">
      <w:pPr>
        <w:pStyle w:val="ListBullet2"/>
      </w:pPr>
      <w:r w:rsidRPr="00B1023E">
        <w:t xml:space="preserve">satisfy the assessor requirements in the </w:t>
      </w:r>
      <w:r w:rsidRPr="00B1023E">
        <w:rPr>
          <w:rStyle w:val="Emphasis"/>
        </w:rPr>
        <w:t xml:space="preserve">Standards for Registered Training Organisations 2015 </w:t>
      </w:r>
      <w:r w:rsidRPr="00B1023E">
        <w:t>or its replacement</w:t>
      </w:r>
      <w:r w:rsidRPr="00B1023E">
        <w:rPr>
          <w:rStyle w:val="Emphasis"/>
        </w:rPr>
        <w:t xml:space="preserve"> </w:t>
      </w:r>
      <w:r w:rsidRPr="00B1023E">
        <w:t xml:space="preserve">and comply with the </w:t>
      </w:r>
      <w:r w:rsidRPr="00B1023E">
        <w:rPr>
          <w:rStyle w:val="Emphasis"/>
        </w:rPr>
        <w:t>National Vocational Education and Trainin</w:t>
      </w:r>
      <w:r w:rsidRPr="00B1023E">
        <w:rPr>
          <w:rStyle w:val="Emphasis"/>
        </w:rPr>
        <w:t xml:space="preserve">g Regulator Act 2011, </w:t>
      </w:r>
      <w:r w:rsidRPr="00B1023E">
        <w:t>its replacement</w:t>
      </w:r>
      <w:r w:rsidRPr="00B1023E">
        <w:rPr>
          <w:rStyle w:val="Emphasis"/>
        </w:rPr>
        <w:t xml:space="preserve"> </w:t>
      </w:r>
      <w:r w:rsidRPr="00B1023E">
        <w:t>or equivalent legislation covering VET regulation in a non-referring state/territory as the case requires</w:t>
      </w:r>
    </w:p>
    <w:p w:rsidR="00000000" w:rsidRPr="00B1023E" w:rsidP="00B1023E">
      <w:pPr>
        <w:pStyle w:val="ListBullet"/>
      </w:pPr>
      <w:r w:rsidRPr="00B1023E">
        <w:t>Where possible assessment must occur in operational workplace situations. Where this is not possible or where p</w:t>
      </w:r>
      <w:r w:rsidRPr="00B1023E">
        <w:t>ersonal safety or environmental damage are limiting factors, assessment must occur in a sufficiently rigorous simulated environment that reflects realistic operational workplace conditions. This must cover all aspects of workplace performance, including en</w:t>
      </w:r>
      <w:r w:rsidRPr="00B1023E">
        <w:t>vironment, task skills, task management skills, contingency management skills and job role environment skills</w:t>
      </w:r>
    </w:p>
    <w:p w:rsidR="00000000" w:rsidRPr="00B1023E" w:rsidP="00B1023E">
      <w:pPr>
        <w:pStyle w:val="ListBullet"/>
      </w:pPr>
      <w:r w:rsidRPr="00B1023E">
        <w:t>Conditions for assessment must include access to all tools, equipment, materials and documentation required, including relevant workplace procedur</w:t>
      </w:r>
      <w:r w:rsidRPr="00B1023E">
        <w:t>es, product and manufacturing specifications</w:t>
      </w:r>
    </w:p>
    <w:p w:rsidR="00000000" w:rsidRPr="00B1023E" w:rsidP="00B1023E">
      <w:pPr>
        <w:pStyle w:val="ListBullet"/>
      </w:pPr>
      <w:r w:rsidRPr="00B1023E">
        <w:t>Assessment processes and techniques must be appropriate to the language, literacy and numeracy requirements of the work being performed and the needs of the candidate.</w:t>
      </w:r>
    </w:p>
    <w:p w:rsidR="00000000" w:rsidRPr="00B1023E" w:rsidP="00B1023E">
      <w:pPr>
        <w:pStyle w:val="AllowPageBreak"/>
      </w:pPr>
    </w:p>
    <w:p w:rsidR="00000000" w:rsidRPr="00B1023E" w:rsidP="00B1023E">
      <w:pPr>
        <w:pStyle w:val="Heading1"/>
      </w:pPr>
      <w:bookmarkStart w:id="5" w:name="O_951003"/>
      <w:bookmarkEnd w:id="5"/>
      <w:r w:rsidRPr="00B1023E">
        <w:t>Links</w:t>
      </w:r>
    </w:p>
    <w:p w:rsidR="00000000" w:rsidRPr="00B1023E" w:rsidP="00AC5627">
      <w:pPr>
        <w:pStyle w:val="BodyText"/>
      </w:pPr>
      <w:r w:rsidRPr="00B1023E">
        <w:t>Companion Volume imp</w:t>
      </w:r>
      <w:r w:rsidRPr="00B1023E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93FA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1023E" w:rsidP="00B1023E"/>
    <w:sectPr w:rsidSect="00B102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2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23E" w:rsidRPr="00AC5627" w:rsidP="00AC56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2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627" w:rsidP="00B10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5627" w:rsidP="00B10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C5627" w:rsidP="00B102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2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6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23E" w:rsidRPr="00AC5627" w:rsidP="00AC56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2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627" w:rsidRPr="002D2AF8" w:rsidP="00B10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MEM20009 Gain entry and reinstate fire and security containers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AC5627" w:rsidP="00B102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FA8C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C80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D094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2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2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2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2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2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2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2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2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2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2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2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23E"/>
  </w:style>
  <w:style w:type="character" w:customStyle="1" w:styleId="Heading1Char">
    <w:name w:val="Heading 1 Char"/>
    <w:basedOn w:val="DefaultParagraphFont"/>
    <w:link w:val="Heading1"/>
    <w:rsid w:val="00B102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2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2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2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02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1023E"/>
    <w:rPr>
      <w:i/>
    </w:rPr>
  </w:style>
  <w:style w:type="paragraph" w:customStyle="1" w:styleId="SuperHeading">
    <w:name w:val="SuperHeading"/>
    <w:basedOn w:val="Normal"/>
    <w:rsid w:val="00B102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2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02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2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2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2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2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2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2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2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2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2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2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2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2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2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2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2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023E"/>
    <w:rPr>
      <w:b/>
      <w:spacing w:val="0"/>
    </w:rPr>
  </w:style>
  <w:style w:type="paragraph" w:customStyle="1" w:styleId="SuperTitle">
    <w:name w:val="SuperTitle"/>
    <w:basedOn w:val="Title"/>
    <w:rsid w:val="00B102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2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2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02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2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2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2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2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2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2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2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2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02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2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2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23E"/>
  </w:style>
  <w:style w:type="paragraph" w:styleId="TableofFigures">
    <w:name w:val="table of figures"/>
    <w:basedOn w:val="Normal"/>
    <w:next w:val="Normal"/>
    <w:semiHidden/>
    <w:rsid w:val="00B102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2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023E"/>
    <w:rPr>
      <w:rFonts w:ascii="Wingdings" w:hAnsi="Wingdings"/>
    </w:rPr>
  </w:style>
  <w:style w:type="paragraph" w:customStyle="1" w:styleId="TableHeading">
    <w:name w:val="Table Heading"/>
    <w:basedOn w:val="HeadingBase"/>
    <w:rsid w:val="00B102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23E"/>
    <w:rPr>
      <w:color w:val="0033CC"/>
      <w:u w:val="none"/>
    </w:rPr>
  </w:style>
  <w:style w:type="paragraph" w:customStyle="1" w:styleId="BodyTextRight">
    <w:name w:val="Body Text Right"/>
    <w:basedOn w:val="BodyText"/>
    <w:rsid w:val="00B102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2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2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2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2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2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23E"/>
    <w:rPr>
      <w:sz w:val="32"/>
    </w:rPr>
  </w:style>
  <w:style w:type="paragraph" w:customStyle="1" w:styleId="HeadingProcedure">
    <w:name w:val="Heading Procedure"/>
    <w:basedOn w:val="HeadingBase"/>
    <w:next w:val="Normal"/>
    <w:rsid w:val="00B102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23E"/>
    <w:pPr>
      <w:spacing w:before="60" w:after="60"/>
    </w:pPr>
  </w:style>
  <w:style w:type="paragraph" w:styleId="ListContinue">
    <w:name w:val="List Continue"/>
    <w:basedOn w:val="List"/>
    <w:rsid w:val="00B1023E"/>
    <w:pPr>
      <w:ind w:firstLine="0"/>
    </w:pPr>
  </w:style>
  <w:style w:type="paragraph" w:customStyle="1" w:styleId="ListNote">
    <w:name w:val="List Note"/>
    <w:basedOn w:val="List"/>
    <w:rsid w:val="00B102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2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2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23E"/>
    <w:rPr>
      <w:rFonts w:ascii="Courier New" w:hAnsi="Courier New"/>
    </w:rPr>
  </w:style>
  <w:style w:type="paragraph" w:customStyle="1" w:styleId="NoteBullet">
    <w:name w:val="Note Bullet"/>
    <w:basedOn w:val="Note"/>
    <w:rsid w:val="00B102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2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2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2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2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02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2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23E"/>
    <w:rPr>
      <w:b/>
      <w:smallCaps/>
    </w:rPr>
  </w:style>
  <w:style w:type="paragraph" w:customStyle="1" w:styleId="TableListNumber">
    <w:name w:val="Table List Number"/>
    <w:basedOn w:val="ListNumber"/>
    <w:rsid w:val="00B102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2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23E"/>
    <w:pPr>
      <w:numPr>
        <w:numId w:val="9"/>
      </w:numPr>
    </w:pPr>
  </w:style>
  <w:style w:type="paragraph" w:customStyle="1" w:styleId="ListAlpha2">
    <w:name w:val="List Alpha 2"/>
    <w:basedOn w:val="List2"/>
    <w:rsid w:val="00B1023E"/>
    <w:pPr>
      <w:numPr>
        <w:numId w:val="8"/>
      </w:numPr>
    </w:pPr>
  </w:style>
  <w:style w:type="paragraph" w:styleId="List2">
    <w:name w:val="List 2"/>
    <w:basedOn w:val="BodyText"/>
    <w:rsid w:val="00B102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2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2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2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2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2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023E"/>
    <w:pPr>
      <w:numPr>
        <w:numId w:val="4"/>
      </w:numPr>
    </w:pPr>
  </w:style>
  <w:style w:type="paragraph" w:styleId="ListContinue2">
    <w:name w:val="List Continue 2"/>
    <w:basedOn w:val="List2"/>
    <w:rsid w:val="00B1023E"/>
    <w:pPr>
      <w:ind w:firstLine="0"/>
    </w:pPr>
  </w:style>
  <w:style w:type="paragraph" w:styleId="ListContinue3">
    <w:name w:val="List Continue 3"/>
    <w:basedOn w:val="List3"/>
    <w:rsid w:val="00B1023E"/>
    <w:pPr>
      <w:ind w:left="1021" w:firstLine="0"/>
    </w:pPr>
  </w:style>
  <w:style w:type="paragraph" w:styleId="ListContinue4">
    <w:name w:val="List Continue 4"/>
    <w:basedOn w:val="List4"/>
    <w:rsid w:val="00B1023E"/>
    <w:pPr>
      <w:ind w:firstLine="0"/>
    </w:pPr>
  </w:style>
  <w:style w:type="paragraph" w:styleId="ListContinue5">
    <w:name w:val="List Continue 5"/>
    <w:basedOn w:val="List5"/>
    <w:rsid w:val="00B1023E"/>
    <w:pPr>
      <w:ind w:firstLine="0"/>
    </w:pPr>
  </w:style>
  <w:style w:type="paragraph" w:styleId="ListNumber3">
    <w:name w:val="List Number 3"/>
    <w:basedOn w:val="List3"/>
    <w:rsid w:val="00B1023E"/>
    <w:pPr>
      <w:numPr>
        <w:numId w:val="5"/>
      </w:numPr>
    </w:pPr>
  </w:style>
  <w:style w:type="paragraph" w:styleId="ListNumber4">
    <w:name w:val="List Number 4"/>
    <w:basedOn w:val="List4"/>
    <w:rsid w:val="00B1023E"/>
    <w:pPr>
      <w:numPr>
        <w:numId w:val="6"/>
      </w:numPr>
    </w:pPr>
  </w:style>
  <w:style w:type="paragraph" w:styleId="ListNumber5">
    <w:name w:val="List Number 5"/>
    <w:basedOn w:val="List5"/>
    <w:rsid w:val="00B1023E"/>
    <w:pPr>
      <w:numPr>
        <w:numId w:val="7"/>
      </w:numPr>
    </w:pPr>
  </w:style>
  <w:style w:type="paragraph" w:styleId="BlockText">
    <w:name w:val="Block Text"/>
    <w:basedOn w:val="Normal"/>
    <w:rsid w:val="00B102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2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23E"/>
    <w:rPr>
      <w:sz w:val="16"/>
      <w:vertAlign w:val="superscript"/>
    </w:rPr>
  </w:style>
  <w:style w:type="character" w:customStyle="1" w:styleId="Symbols">
    <w:name w:val="Symbols"/>
    <w:basedOn w:val="DefaultParagraphFont"/>
    <w:rsid w:val="00B1023E"/>
    <w:rPr>
      <w:rFonts w:ascii="Symbol" w:hAnsi="Symbol"/>
    </w:rPr>
  </w:style>
  <w:style w:type="character" w:customStyle="1" w:styleId="MenuOptions">
    <w:name w:val="Menu Options"/>
    <w:basedOn w:val="DefaultParagraphFont"/>
    <w:rsid w:val="00B102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23E"/>
    <w:rPr>
      <w:b/>
    </w:rPr>
  </w:style>
  <w:style w:type="character" w:customStyle="1" w:styleId="Underlined">
    <w:name w:val="Underlined"/>
    <w:basedOn w:val="DefaultParagraphFont"/>
    <w:rsid w:val="00B1023E"/>
    <w:rPr>
      <w:u w:val="single"/>
    </w:rPr>
  </w:style>
  <w:style w:type="paragraph" w:customStyle="1" w:styleId="TableBodyTextRight">
    <w:name w:val="Table Body Text Right"/>
    <w:basedOn w:val="TableBodyText"/>
    <w:rsid w:val="00B102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23E"/>
    <w:rPr>
      <w:sz w:val="18"/>
    </w:rPr>
  </w:style>
  <w:style w:type="paragraph" w:customStyle="1" w:styleId="BodySmallRight">
    <w:name w:val="Body Small Right"/>
    <w:basedOn w:val="BodyTextRight"/>
    <w:rsid w:val="00B1023E"/>
    <w:rPr>
      <w:sz w:val="18"/>
      <w:szCs w:val="18"/>
    </w:rPr>
  </w:style>
  <w:style w:type="paragraph" w:customStyle="1" w:styleId="MarginEdition">
    <w:name w:val="Margin Edition"/>
    <w:basedOn w:val="MarginNote"/>
    <w:rsid w:val="00B102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23E"/>
    <w:rPr>
      <w:sz w:val="2"/>
      <w:szCs w:val="2"/>
    </w:rPr>
  </w:style>
  <w:style w:type="character" w:customStyle="1" w:styleId="Small">
    <w:name w:val="Small"/>
    <w:basedOn w:val="DefaultParagraphFont"/>
    <w:rsid w:val="00B1023E"/>
    <w:rPr>
      <w:sz w:val="16"/>
    </w:rPr>
  </w:style>
  <w:style w:type="paragraph" w:customStyle="1" w:styleId="WideTable">
    <w:name w:val="Wide Table"/>
    <w:basedOn w:val="Normal"/>
    <w:rsid w:val="00B102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23E"/>
  </w:style>
  <w:style w:type="paragraph" w:styleId="Quote">
    <w:name w:val="Quote"/>
    <w:basedOn w:val="Heading1"/>
    <w:link w:val="QuoteChar"/>
    <w:qFormat/>
    <w:rsid w:val="00B102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2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23E"/>
    <w:pPr>
      <w:pageBreakBefore/>
    </w:pPr>
  </w:style>
  <w:style w:type="paragraph" w:customStyle="1" w:styleId="Border">
    <w:name w:val="Border"/>
    <w:basedOn w:val="Normal"/>
    <w:qFormat/>
    <w:rsid w:val="00B102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2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2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2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2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2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2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23E"/>
    <w:rPr>
      <w:u w:val="single"/>
    </w:rPr>
  </w:style>
  <w:style w:type="character" w:customStyle="1" w:styleId="BoldandItalics">
    <w:name w:val="Bold and Italics"/>
    <w:qFormat/>
    <w:rsid w:val="00B1023E"/>
    <w:rPr>
      <w:b/>
      <w:i/>
      <w:u w:val="none"/>
    </w:rPr>
  </w:style>
  <w:style w:type="paragraph" w:styleId="BalloonText">
    <w:name w:val="Balloon Text"/>
    <w:basedOn w:val="Normal"/>
    <w:link w:val="BalloonTextChar"/>
    <w:rsid w:val="00B10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2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2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2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2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2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23E"/>
    <w:pPr>
      <w:spacing w:before="0" w:after="0"/>
    </w:pPr>
  </w:style>
  <w:style w:type="paragraph" w:customStyle="1" w:styleId="BodyTextBold">
    <w:name w:val="Body Text Bold"/>
    <w:basedOn w:val="BodyText"/>
    <w:qFormat/>
    <w:rsid w:val="00B1023E"/>
    <w:rPr>
      <w:b/>
    </w:rPr>
  </w:style>
  <w:style w:type="character" w:styleId="Hyperlink">
    <w:name w:val="Hyperlink"/>
    <w:basedOn w:val="DefaultParagraphFont"/>
    <w:uiPriority w:val="99"/>
    <w:unhideWhenUsed/>
    <w:rsid w:val="00AC56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4346</Characters>
  <Application>Microsoft Office Word</Application>
  <DocSecurity>0</DocSecurity>
  <Lines>94</Lines>
  <Paragraphs>63</Paragraphs>
  <ScaleCrop>false</ScaleCrop>
  <Company>Author-it Software Corporation Ltd.</Company>
  <LinksUpToDate>false</LinksUpToDate>
  <CharactersWithSpaces>4939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MEM20009 Gain entry and reinstate fire and security containers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2021-03-31T03:25:00Z</dcterms:created>
  <dcterms:modified xsi:type="dcterms:W3CDTF">2021-03-31T03:25:00Z</dcterms:modified>
</cp:coreProperties>
</file>