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FBF" w:rsidP="00705FBF">
      <w:pPr>
        <w:pStyle w:val="Title"/>
      </w:pPr>
      <w:r>
        <w:fldChar w:fldCharType="begin"/>
      </w:r>
      <w:r>
        <w:instrText xml:space="preserve"> TITLE   \* MERGEFORMAT </w:instrText>
      </w:r>
      <w:r>
        <w:fldChar w:fldCharType="separate"/>
      </w:r>
      <w:r>
        <w:t>MEM20007 Plan and prepare a masterkey system</w:t>
      </w:r>
      <w:r>
        <w:fldChar w:fldCharType="end"/>
      </w:r>
    </w:p>
    <w:p w:rsidR="00705FBF" w:rsidP="00705FBF">
      <w:pPr>
        <w:pStyle w:val="Version"/>
        <w:sectPr w:rsidSect="00DB2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C5C" w:rsidP="00DB2C5C">
      <w:pPr>
        <w:pStyle w:val="SuperHeading"/>
      </w:pPr>
      <w:r w:rsidRPr="00DB2C5C">
        <w:t>MEM20007 Plan and prepare a masterkey system</w:t>
      </w:r>
    </w:p>
    <w:p w:rsidR="00000000" w:rsidRPr="00DB2C5C" w:rsidP="00DB2C5C">
      <w:pPr>
        <w:pStyle w:val="Heading1"/>
      </w:pPr>
      <w:bookmarkStart w:id="1" w:name="O_950970"/>
      <w:bookmarkEnd w:id="1"/>
      <w:r w:rsidRPr="00DB2C5C">
        <w:t>Modification History</w:t>
      </w:r>
    </w:p>
    <w:p w:rsidR="00000000" w:rsidRPr="00DB2C5C" w:rsidP="00705FBF">
      <w:pPr>
        <w:pStyle w:val="BodyText"/>
      </w:pPr>
      <w:r w:rsidRPr="00DB2C5C">
        <w:t>Release 1. Supersedes and is equivalent to MEM20007A Plan and prepare a masterkey system</w:t>
      </w:r>
    </w:p>
    <w:p w:rsidR="00000000" w:rsidRPr="00DB2C5C" w:rsidP="00DB2C5C">
      <w:pPr>
        <w:pStyle w:val="Heading1"/>
      </w:pPr>
      <w:bookmarkStart w:id="2" w:name="O_950978"/>
      <w:bookmarkEnd w:id="2"/>
      <w:r w:rsidRPr="00DB2C5C">
        <w:t>Application</w:t>
      </w:r>
    </w:p>
    <w:p w:rsidR="00000000" w:rsidRPr="00DB2C5C" w:rsidP="00705FBF">
      <w:pPr>
        <w:pStyle w:val="BodyText"/>
      </w:pPr>
      <w:r w:rsidRPr="00DB2C5C">
        <w:t>This unit of competency defines the skills and knowledge required to create a new masterkey system for in-line pin tu</w:t>
      </w:r>
      <w:r w:rsidRPr="00DB2C5C">
        <w:t xml:space="preserve">mbler cylinders up to and including a hierarchical great grand masterkey (GGMK) system and maisoning. It applies to manually developing a standard (even cut) progression in-line masterkey system and using a computer masterkeying package. </w:t>
      </w:r>
    </w:p>
    <w:p w:rsidR="00000000" w:rsidRPr="00DB2C5C" w:rsidP="00705FBF">
      <w:pPr>
        <w:pStyle w:val="BodyText"/>
      </w:pPr>
      <w:r w:rsidRPr="00DB2C5C">
        <w:t>Where a security</w:t>
      </w:r>
      <w:r w:rsidRPr="00DB2C5C">
        <w:t xml:space="preserve"> survey/site assessment is required unit MEM20014 Perform a site security survey should also be selected.</w:t>
      </w:r>
    </w:p>
    <w:p w:rsidR="00000000" w:rsidRPr="00DB2C5C" w:rsidP="00705FBF">
      <w:pPr>
        <w:pStyle w:val="BodyText"/>
      </w:pPr>
      <w:r w:rsidRPr="00DB2C5C">
        <w:t>Where cross keying, sub-masterkeying and selective keying is required unit MEM20008 Develop and implement a masterkey system should also be selected.</w:t>
      </w:r>
    </w:p>
    <w:p w:rsidR="00000000" w:rsidRPr="00DB2C5C" w:rsidP="00705FBF">
      <w:pPr>
        <w:pStyle w:val="BodyText"/>
      </w:pPr>
      <w:r w:rsidRPr="00DB2C5C">
        <w:t xml:space="preserve">No licensing, legislative or certification requirements apply to this unit at the time of publication. </w:t>
      </w:r>
    </w:p>
    <w:p w:rsidR="00000000" w:rsidRPr="00DB2C5C" w:rsidP="00DB2C5C">
      <w:pPr>
        <w:pStyle w:val="BodyText"/>
      </w:pPr>
      <w:r w:rsidRPr="00DB2C5C">
        <w:rPr>
          <w:rStyle w:val="SpecialBold"/>
        </w:rPr>
        <w:t>Band</w:t>
      </w:r>
      <w:r w:rsidRPr="00DB2C5C">
        <w:t>:</w:t>
      </w:r>
      <w:r w:rsidRPr="00DB2C5C">
        <w:tab/>
      </w:r>
      <w:r w:rsidRPr="00DB2C5C">
        <w:rPr>
          <w:rStyle w:val="SpecialBold"/>
        </w:rPr>
        <w:t>A</w:t>
      </w:r>
    </w:p>
    <w:p w:rsidR="00000000" w:rsidRPr="00DB2C5C" w:rsidP="00DB2C5C">
      <w:pPr>
        <w:pStyle w:val="BodyText"/>
      </w:pPr>
      <w:r w:rsidRPr="00DB2C5C">
        <w:rPr>
          <w:rStyle w:val="SpecialBold"/>
        </w:rPr>
        <w:t>Unit Weight</w:t>
      </w:r>
      <w:r w:rsidRPr="00DB2C5C">
        <w:t>:</w:t>
      </w:r>
      <w:r w:rsidRPr="00DB2C5C">
        <w:tab/>
      </w:r>
      <w:r w:rsidRPr="00DB2C5C">
        <w:rPr>
          <w:rStyle w:val="SpecialBold"/>
        </w:rPr>
        <w:t>4</w:t>
      </w:r>
    </w:p>
    <w:p w:rsidR="00000000" w:rsidRPr="00DB2C5C" w:rsidP="00DB2C5C">
      <w:pPr>
        <w:pStyle w:val="AllowPageBreak"/>
      </w:pPr>
    </w:p>
    <w:p w:rsidR="00000000" w:rsidRPr="00DB2C5C" w:rsidP="00DB2C5C">
      <w:pPr>
        <w:pStyle w:val="Heading1"/>
      </w:pPr>
      <w:bookmarkStart w:id="3" w:name="O_950977"/>
      <w:bookmarkEnd w:id="3"/>
      <w:r w:rsidRPr="00DB2C5C">
        <w:t>Pre-requisite Unit</w:t>
      </w:r>
    </w:p>
    <w:tbl>
      <w:tblPr>
        <w:tblW w:w="0" w:type="auto"/>
        <w:tblLayout w:type="fixed"/>
        <w:tblCellMar>
          <w:left w:w="62" w:type="dxa"/>
          <w:right w:w="62" w:type="dxa"/>
        </w:tblCellMar>
        <w:tblLook w:val="0000"/>
      </w:tblPr>
      <w:tblGrid>
        <w:gridCol w:w="2186"/>
        <w:gridCol w:w="6886"/>
      </w:tblGrid>
      <w:tr w:rsidTr="00DB2C5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MEM12024</w:t>
            </w:r>
          </w:p>
        </w:tc>
        <w:tc>
          <w:tcPr>
            <w:tcW w:w="68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Perform computations</w:t>
            </w:r>
          </w:p>
        </w:tc>
      </w:tr>
      <w:tr w:rsidTr="00DB2C5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MEM13015</w:t>
            </w:r>
          </w:p>
        </w:tc>
        <w:tc>
          <w:tcPr>
            <w:tcW w:w="68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Work safely and effectively in manufacturing and e</w:t>
            </w:r>
            <w:r w:rsidRPr="00DB2C5C">
              <w:t>ngineering</w:t>
            </w:r>
          </w:p>
        </w:tc>
      </w:tr>
      <w:tr w:rsidTr="00DB2C5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MEM16006</w:t>
            </w:r>
          </w:p>
        </w:tc>
        <w:tc>
          <w:tcPr>
            <w:tcW w:w="68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Organise and communicate information</w:t>
            </w:r>
          </w:p>
        </w:tc>
      </w:tr>
      <w:tr w:rsidTr="00DB2C5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MEM18001</w:t>
            </w:r>
          </w:p>
        </w:tc>
        <w:tc>
          <w:tcPr>
            <w:tcW w:w="68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Use hand tools</w:t>
            </w:r>
          </w:p>
        </w:tc>
      </w:tr>
      <w:tr w:rsidTr="00DB2C5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MEM20001</w:t>
            </w:r>
          </w:p>
        </w:tc>
        <w:tc>
          <w:tcPr>
            <w:tcW w:w="68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Produce keys</w:t>
            </w:r>
          </w:p>
        </w:tc>
      </w:tr>
      <w:tr w:rsidTr="00DB2C5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MEM20002</w:t>
            </w:r>
          </w:p>
        </w:tc>
        <w:tc>
          <w:tcPr>
            <w:tcW w:w="6886" w:type="dxa"/>
            <w:tcBorders>
              <w:top w:val="nil"/>
              <w:left w:val="nil"/>
              <w:bottom w:val="nil"/>
              <w:right w:val="nil"/>
            </w:tcBorders>
            <w:tcMar>
              <w:top w:w="0" w:type="dxa"/>
              <w:left w:w="62" w:type="dxa"/>
              <w:bottom w:w="0" w:type="dxa"/>
              <w:right w:w="62" w:type="dxa"/>
            </w:tcMar>
          </w:tcPr>
          <w:p w:rsidR="00000000" w:rsidRPr="00DB2C5C" w:rsidP="00DB2C5C">
            <w:pPr>
              <w:pStyle w:val="BodyText"/>
            </w:pPr>
            <w:r w:rsidRPr="00DB2C5C">
              <w:t>Assemble and test lock mechanisms</w:t>
            </w:r>
          </w:p>
        </w:tc>
      </w:tr>
    </w:tbl>
    <w:p w:rsidR="00000000" w:rsidRPr="00DB2C5C" w:rsidP="00DB2C5C">
      <w:pPr>
        <w:pStyle w:val="BodyText"/>
      </w:pPr>
    </w:p>
    <w:p w:rsidR="00000000" w:rsidRPr="00DB2C5C" w:rsidP="00DB2C5C">
      <w:pPr>
        <w:pStyle w:val="AllowPageBreak"/>
      </w:pPr>
    </w:p>
    <w:p w:rsidR="00000000" w:rsidRPr="00DB2C5C" w:rsidP="00DB2C5C">
      <w:pPr>
        <w:pStyle w:val="Heading1"/>
      </w:pPr>
      <w:bookmarkStart w:id="4" w:name="O_950976"/>
      <w:bookmarkEnd w:id="4"/>
      <w:r w:rsidRPr="00DB2C5C">
        <w:t>Competency Field</w:t>
      </w:r>
    </w:p>
    <w:p w:rsidR="00000000" w:rsidRPr="00DB2C5C" w:rsidP="00705FBF">
      <w:pPr>
        <w:pStyle w:val="BodyText"/>
      </w:pPr>
      <w:r w:rsidRPr="00DB2C5C">
        <w:t>Locksmithing</w:t>
      </w:r>
    </w:p>
    <w:p w:rsidR="00000000" w:rsidRPr="00DB2C5C" w:rsidP="00DB2C5C">
      <w:pPr>
        <w:pStyle w:val="Heading1"/>
      </w:pPr>
      <w:bookmarkStart w:id="5" w:name="O_950974"/>
      <w:bookmarkEnd w:id="5"/>
      <w:r w:rsidRPr="00DB2C5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B2C5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Performance criteria describe the performance needed to demonstrate achievement of the element.</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B2C5C" w:rsidP="00DB2C5C">
            <w:pPr>
              <w:pStyle w:val="BodyText"/>
            </w:pPr>
            <w:r w:rsidRPr="00DB2C5C">
              <w:t>1</w:t>
            </w:r>
          </w:p>
        </w:tc>
        <w:tc>
          <w:tcPr>
            <w:tcW w:w="1986" w:type="dxa"/>
            <w:vMerge w:val="restart"/>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1.1</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Follow standard operating procedures (SOPs)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1.2</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Comply with work health and safety (WHS) requirements at all times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1.3</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Select and use appropriate personal protective equipment (PPE) in accordance with SOPs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1.4</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Identify job requirements from specifications, job sheets or work instructions</w:t>
            </w:r>
          </w:p>
        </w:tc>
      </w:tr>
      <w:tr w:rsidTr="00DB2C5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B2C5C">
            <w:pPr>
              <w:pStyle w:val="BodyText"/>
              <w:rPr>
                <w:lang w:val="en-NZ"/>
              </w:rPr>
            </w:pP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B2C5C" w:rsidP="00DB2C5C">
            <w:pPr>
              <w:pStyle w:val="BodyText"/>
            </w:pPr>
            <w:r w:rsidRPr="00DB2C5C">
              <w:t>2</w:t>
            </w:r>
          </w:p>
        </w:tc>
        <w:tc>
          <w:tcPr>
            <w:tcW w:w="1986" w:type="dxa"/>
            <w:vMerge w:val="restart"/>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Assess customer requirements</w:t>
            </w: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2.1</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Discuss customer needs and clarify according to SOPs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2.2</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Review appropriate levels of security/access with respect to customer assets, activities and existing security arrangements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2.3</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Interpret architectural plans, floor plans and charts when planning and preparing a masterkey system as required</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2.4</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Prepare door and lock schedules and other appropriate documentation according to SOPs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2.5</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Match customer requirements to the mechanical possibilities and limitations of masterkey systems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2.6</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Identify options and advise customer on options and alternatives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2.7</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Identify personal limitations in assessing requirements for key systems and mast</w:t>
            </w:r>
            <w:r w:rsidRPr="00DB2C5C">
              <w:t>erkey systems and seek assistance from appropriate person(s) in accordance with SOPs</w:t>
            </w:r>
          </w:p>
        </w:tc>
      </w:tr>
      <w:tr w:rsidTr="00DB2C5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B2C5C">
            <w:pPr>
              <w:pStyle w:val="BodyText"/>
              <w:rPr>
                <w:lang w:val="en-NZ"/>
              </w:rPr>
            </w:pP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B2C5C" w:rsidP="00DB2C5C">
            <w:pPr>
              <w:pStyle w:val="BodyText"/>
            </w:pPr>
            <w:r w:rsidRPr="00DB2C5C">
              <w:t>3</w:t>
            </w:r>
          </w:p>
        </w:tc>
        <w:tc>
          <w:tcPr>
            <w:tcW w:w="1986" w:type="dxa"/>
            <w:vMerge w:val="restart"/>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 xml:space="preserve">Design masterkey </w:t>
            </w:r>
            <w:r w:rsidRPr="00DB2C5C">
              <w:rPr>
                <w:rStyle w:val="SpecialBold"/>
              </w:rPr>
              <w:t>system</w:t>
            </w: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3.1</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 xml:space="preserve">Develop keying matrix to customer requirements, allowing for future system expansion and mechanical </w:t>
            </w:r>
            <w:r w:rsidRPr="00DB2C5C">
              <w:t>capabilities of system</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3.2</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Produce key codes (code matrix) from mathematical permutations and calculations according to customer requirements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3.3</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Select key codes from matrix that maximise system security</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3.4</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Develop key cutting and cylinder pinning charts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3.5</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Identify incidental masterkeys within progression charts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3.6</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Check and confirm there are no phantoms in the system</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3.7</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Apply principles of masterkeying in accordance with industry practice and organisational requirements</w:t>
            </w:r>
          </w:p>
        </w:tc>
      </w:tr>
      <w:tr w:rsidTr="00DB2C5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B2C5C">
            <w:pPr>
              <w:pStyle w:val="BodyText"/>
              <w:rPr>
                <w:lang w:val="en-NZ"/>
              </w:rPr>
            </w:pP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B2C5C" w:rsidP="00DB2C5C">
            <w:pPr>
              <w:pStyle w:val="BodyText"/>
            </w:pPr>
            <w:r w:rsidRPr="00DB2C5C">
              <w:t>4</w:t>
            </w:r>
          </w:p>
        </w:tc>
        <w:tc>
          <w:tcPr>
            <w:tcW w:w="1986" w:type="dxa"/>
            <w:vMerge w:val="restart"/>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Finalise system design</w:t>
            </w: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4.1</w:t>
            </w:r>
          </w:p>
        </w:tc>
        <w:tc>
          <w:tcPr>
            <w:tcW w:w="5678"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Review final system design and keying requirements and confirm with appropriate person(s) in accordance with SOPs</w:t>
            </w:r>
          </w:p>
        </w:tc>
      </w:tr>
      <w:tr w:rsidTr="00DB2C5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4.2</w:t>
            </w:r>
          </w:p>
        </w:tc>
        <w:tc>
          <w:tcPr>
            <w:tcW w:w="5678" w:type="dxa"/>
            <w:tcBorders>
              <w:top w:val="nil"/>
              <w:left w:val="nil"/>
              <w:bottom w:val="nil"/>
              <w:right w:val="nil"/>
            </w:tcBorders>
            <w:tcMar>
              <w:top w:w="0" w:type="dxa"/>
              <w:left w:w="62" w:type="dxa"/>
              <w:bottom w:w="0" w:type="dxa"/>
              <w:right w:w="62" w:type="dxa"/>
            </w:tcMar>
          </w:tcPr>
          <w:p w:rsidR="00000000" w:rsidRPr="00DB2C5C" w:rsidP="00DB2C5C">
            <w:pPr>
              <w:pStyle w:val="BodyText"/>
            </w:pPr>
            <w:r w:rsidRPr="00DB2C5C">
              <w:t>Prepare documentation and process and store in accordance with client, legislative and organisational requirements</w:t>
            </w:r>
          </w:p>
        </w:tc>
      </w:tr>
    </w:tbl>
    <w:p w:rsidR="00000000" w:rsidRPr="00DB2C5C" w:rsidP="00DB2C5C">
      <w:pPr>
        <w:pStyle w:val="BodyText"/>
      </w:pPr>
    </w:p>
    <w:p w:rsidR="00000000" w:rsidRPr="00DB2C5C" w:rsidP="00DB2C5C">
      <w:pPr>
        <w:pStyle w:val="AllowPageBreak"/>
      </w:pPr>
    </w:p>
    <w:p w:rsidR="00000000" w:rsidRPr="00DB2C5C" w:rsidP="00DB2C5C">
      <w:pPr>
        <w:pStyle w:val="Heading1"/>
      </w:pPr>
      <w:bookmarkStart w:id="6" w:name="O_950973"/>
      <w:bookmarkEnd w:id="6"/>
      <w:r w:rsidRPr="00DB2C5C">
        <w:t>Foundation Skills</w:t>
      </w:r>
    </w:p>
    <w:p w:rsidR="00000000" w:rsidRPr="00DB2C5C" w:rsidP="00705FBF">
      <w:pPr>
        <w:pStyle w:val="BodyText"/>
      </w:pPr>
      <w:r w:rsidRPr="00DB2C5C">
        <w:t>This section describes those required skills (reading, writing, oral communication and numeracy) that ar</w:t>
      </w:r>
      <w:r w:rsidRPr="00DB2C5C">
        <w:t xml:space="preserve">e essential to workplace performance in this unit of competency.  </w:t>
      </w:r>
    </w:p>
    <w:p w:rsidR="00000000" w:rsidRPr="00DB2C5C" w:rsidP="00705FBF">
      <w:pPr>
        <w:pStyle w:val="BodyText"/>
      </w:pPr>
      <w:r w:rsidRPr="00DB2C5C">
        <w:t>Foundation skills essential to performance are explicit in the performance criteria of this unit of competency.</w:t>
      </w:r>
    </w:p>
    <w:p w:rsidR="00000000" w:rsidRPr="00DB2C5C" w:rsidP="00DB2C5C">
      <w:pPr>
        <w:pStyle w:val="Heading1"/>
      </w:pPr>
      <w:bookmarkStart w:id="7" w:name="O_950972"/>
      <w:bookmarkEnd w:id="7"/>
      <w:r w:rsidRPr="00DB2C5C">
        <w:t>Range of Conditions</w:t>
      </w:r>
    </w:p>
    <w:tbl>
      <w:tblPr>
        <w:tblW w:w="0" w:type="auto"/>
        <w:tblLayout w:type="fixed"/>
        <w:tblCellMar>
          <w:left w:w="62" w:type="dxa"/>
          <w:right w:w="62" w:type="dxa"/>
        </w:tblCellMar>
        <w:tblLook w:val="0000"/>
      </w:tblPr>
      <w:tblGrid>
        <w:gridCol w:w="2641"/>
        <w:gridCol w:w="6501"/>
      </w:tblGrid>
      <w:tr w:rsidTr="00DB2C5C">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t>This field allows for different work en</w:t>
            </w:r>
            <w:r w:rsidRPr="00DB2C5C">
              <w:t>vironments and conditions that may affect performance. Essential operating conditions that may be present (depending on the work situation, needs of the candidate, accessibility of the item, and local industry and regional contexts) are included.</w:t>
            </w:r>
          </w:p>
        </w:tc>
      </w:tr>
      <w:tr w:rsidTr="00DB2C5C">
        <w:tblPrEx>
          <w:tblW w:w="0" w:type="auto"/>
          <w:tblLayout w:type="fixed"/>
          <w:tblCellMar>
            <w:left w:w="62" w:type="dxa"/>
            <w:right w:w="62" w:type="dxa"/>
          </w:tblCellMar>
          <w:tblLook w:val="0000"/>
        </w:tblPrEx>
        <w:trPr>
          <w:trHeight w:val="868"/>
        </w:trPr>
        <w:tc>
          <w:tcPr>
            <w:tcW w:w="2641"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Reviewed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B2C5C" w:rsidP="00DB2C5C">
            <w:pPr>
              <w:pStyle w:val="ListBullet"/>
            </w:pPr>
            <w:r w:rsidRPr="00DB2C5C">
              <w:t xml:space="preserve">physically </w:t>
            </w:r>
          </w:p>
          <w:p w:rsidR="00000000" w:rsidP="00DB2C5C">
            <w:pPr>
              <w:pStyle w:val="ListBullet"/>
              <w:rPr>
                <w:lang w:val="en-NZ"/>
              </w:rPr>
            </w:pPr>
            <w:r w:rsidRPr="00DB2C5C">
              <w:t>off the plan</w:t>
            </w:r>
          </w:p>
        </w:tc>
      </w:tr>
      <w:tr w:rsidTr="00DB2C5C">
        <w:tblPrEx>
          <w:tblW w:w="0" w:type="auto"/>
          <w:tblLayout w:type="fixed"/>
          <w:tblCellMar>
            <w:left w:w="62" w:type="dxa"/>
            <w:right w:w="62" w:type="dxa"/>
          </w:tblCellMar>
          <w:tblLook w:val="0000"/>
        </w:tblPrEx>
        <w:trPr>
          <w:trHeight w:val="2783"/>
        </w:trPr>
        <w:tc>
          <w:tcPr>
            <w:tcW w:w="2641"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Customer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B2C5C" w:rsidP="00DB2C5C">
            <w:pPr>
              <w:pStyle w:val="ListBullet"/>
            </w:pPr>
            <w:r w:rsidRPr="00DB2C5C">
              <w:t>specific client requirements and quantities</w:t>
            </w:r>
          </w:p>
          <w:p w:rsidR="00000000" w:rsidRPr="00DB2C5C" w:rsidP="00DB2C5C">
            <w:pPr>
              <w:pStyle w:val="ListBullet"/>
            </w:pPr>
            <w:r w:rsidRPr="00DB2C5C">
              <w:t>completion times and dates</w:t>
            </w:r>
          </w:p>
          <w:p w:rsidR="00000000" w:rsidRPr="00DB2C5C" w:rsidP="00DB2C5C">
            <w:pPr>
              <w:pStyle w:val="ListBullet"/>
            </w:pPr>
            <w:r w:rsidRPr="00DB2C5C">
              <w:t>job requirements and tasks</w:t>
            </w:r>
          </w:p>
          <w:p w:rsidR="00000000" w:rsidRPr="00DB2C5C" w:rsidP="00DB2C5C">
            <w:pPr>
              <w:pStyle w:val="ListBullet"/>
            </w:pPr>
            <w:r w:rsidRPr="00DB2C5C">
              <w:t>signature auth</w:t>
            </w:r>
            <w:r w:rsidRPr="00DB2C5C">
              <w:t>orities</w:t>
            </w:r>
          </w:p>
          <w:p w:rsidR="00000000" w:rsidRPr="00DB2C5C" w:rsidP="00DB2C5C">
            <w:pPr>
              <w:pStyle w:val="ListBullet"/>
            </w:pPr>
            <w:r w:rsidRPr="00DB2C5C">
              <w:t>WHS requirements</w:t>
            </w:r>
          </w:p>
          <w:p w:rsidR="00000000" w:rsidRPr="00DB2C5C" w:rsidP="00DB2C5C">
            <w:pPr>
              <w:pStyle w:val="ListBullet"/>
            </w:pPr>
            <w:r w:rsidRPr="00DB2C5C">
              <w:t>company requirements</w:t>
            </w:r>
          </w:p>
          <w:p w:rsidR="00000000" w:rsidRPr="00DB2C5C" w:rsidP="00DB2C5C">
            <w:pPr>
              <w:pStyle w:val="ListBullet"/>
            </w:pPr>
            <w:r w:rsidRPr="00DB2C5C">
              <w:t>compliance with relevant manufacturer requirements</w:t>
            </w:r>
          </w:p>
          <w:p w:rsidR="00000000" w:rsidP="00DB2C5C">
            <w:pPr>
              <w:pStyle w:val="ListBullet"/>
              <w:rPr>
                <w:lang w:val="en-NZ"/>
              </w:rPr>
            </w:pPr>
            <w:r w:rsidRPr="00DB2C5C">
              <w:t>warranties and service information</w:t>
            </w:r>
          </w:p>
        </w:tc>
      </w:tr>
      <w:tr w:rsidTr="00DB2C5C">
        <w:tblPrEx>
          <w:tblW w:w="0" w:type="auto"/>
          <w:tblLayout w:type="fixed"/>
          <w:tblCellMar>
            <w:left w:w="62" w:type="dxa"/>
            <w:right w:w="62" w:type="dxa"/>
          </w:tblCellMar>
          <w:tblLook w:val="0000"/>
        </w:tblPrEx>
        <w:trPr>
          <w:trHeight w:val="3425"/>
        </w:trPr>
        <w:tc>
          <w:tcPr>
            <w:tcW w:w="2641"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Key systems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B2C5C" w:rsidP="00DB2C5C">
            <w:pPr>
              <w:pStyle w:val="ListBullet"/>
            </w:pPr>
            <w:r w:rsidRPr="00DB2C5C">
              <w:t>restricted, semi-restricted and non-restricted system numbers</w:t>
            </w:r>
          </w:p>
          <w:p w:rsidR="00000000" w:rsidRPr="00DB2C5C" w:rsidP="00DB2C5C">
            <w:pPr>
              <w:pStyle w:val="ListBullet"/>
            </w:pPr>
            <w:r w:rsidRPr="00DB2C5C">
              <w:t xml:space="preserve">manufacturer restricted and factory restricted </w:t>
            </w:r>
          </w:p>
          <w:p w:rsidR="00000000" w:rsidRPr="00DB2C5C" w:rsidP="00DB2C5C">
            <w:pPr>
              <w:pStyle w:val="ListBullet"/>
            </w:pPr>
            <w:r w:rsidRPr="00DB2C5C">
              <w:t>locksmith restricted/managed</w:t>
            </w:r>
          </w:p>
          <w:p w:rsidR="00000000" w:rsidRPr="00DB2C5C" w:rsidP="00DB2C5C">
            <w:pPr>
              <w:pStyle w:val="ListBullet"/>
            </w:pPr>
            <w:r w:rsidRPr="00DB2C5C">
              <w:t>association restricted</w:t>
            </w:r>
          </w:p>
          <w:p w:rsidR="00000000" w:rsidRPr="00DB2C5C" w:rsidP="00DB2C5C">
            <w:pPr>
              <w:pStyle w:val="ListBullet"/>
            </w:pPr>
            <w:r w:rsidRPr="00DB2C5C">
              <w:t>tiers, including:</w:t>
            </w:r>
          </w:p>
          <w:p w:rsidR="00000000" w:rsidRPr="00DB2C5C" w:rsidP="00DB2C5C">
            <w:pPr>
              <w:pStyle w:val="ListBullet2"/>
            </w:pPr>
            <w:r w:rsidRPr="00DB2C5C">
              <w:t>keyed different (KD)</w:t>
            </w:r>
          </w:p>
          <w:p w:rsidR="00000000" w:rsidRPr="00DB2C5C" w:rsidP="00DB2C5C">
            <w:pPr>
              <w:pStyle w:val="ListBullet2"/>
            </w:pPr>
            <w:r w:rsidRPr="00DB2C5C">
              <w:t>keyed alike (KA)</w:t>
            </w:r>
          </w:p>
          <w:p w:rsidR="00000000" w:rsidRPr="00DB2C5C" w:rsidP="00DB2C5C">
            <w:pPr>
              <w:pStyle w:val="ListBullet2"/>
            </w:pPr>
            <w:r w:rsidRPr="00DB2C5C">
              <w:t>masterkey (MK)</w:t>
            </w:r>
          </w:p>
          <w:p w:rsidR="00000000" w:rsidRPr="00DB2C5C" w:rsidP="00DB2C5C">
            <w:pPr>
              <w:pStyle w:val="ListBullet2"/>
            </w:pPr>
            <w:r w:rsidRPr="00DB2C5C">
              <w:t>grand masterkey (GMK)</w:t>
            </w:r>
          </w:p>
          <w:p w:rsidR="00000000" w:rsidP="00DB2C5C">
            <w:pPr>
              <w:pStyle w:val="ListBullet2"/>
              <w:rPr>
                <w:lang w:val="en-NZ"/>
              </w:rPr>
            </w:pPr>
            <w:r w:rsidRPr="00DB2C5C">
              <w:t>great grand masterkey (GGMK)</w:t>
            </w:r>
          </w:p>
        </w:tc>
      </w:tr>
      <w:tr w:rsidTr="00DB2C5C">
        <w:tblPrEx>
          <w:tblW w:w="0" w:type="auto"/>
          <w:tblLayout w:type="fixed"/>
          <w:tblCellMar>
            <w:left w:w="62" w:type="dxa"/>
            <w:right w:w="62" w:type="dxa"/>
          </w:tblCellMar>
          <w:tblLook w:val="0000"/>
        </w:tblPrEx>
        <w:trPr>
          <w:trHeight w:val="1542"/>
        </w:trPr>
        <w:tc>
          <w:tcPr>
            <w:tcW w:w="2641"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System expansion includes creation of excess codes to allow for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B2C5C" w:rsidP="00DB2C5C">
            <w:pPr>
              <w:pStyle w:val="ListBullet"/>
            </w:pPr>
            <w:r w:rsidRPr="00DB2C5C">
              <w:t>lost keys</w:t>
            </w:r>
          </w:p>
          <w:p w:rsidR="00000000" w:rsidRPr="00DB2C5C" w:rsidP="00DB2C5C">
            <w:pPr>
              <w:pStyle w:val="ListBullet"/>
            </w:pPr>
            <w:r w:rsidRPr="00DB2C5C">
              <w:t xml:space="preserve">unusable codes </w:t>
            </w:r>
          </w:p>
          <w:p w:rsidR="00000000" w:rsidRPr="00DB2C5C" w:rsidP="00DB2C5C">
            <w:pPr>
              <w:pStyle w:val="ListBullet"/>
            </w:pPr>
            <w:r w:rsidRPr="00DB2C5C">
              <w:t>future customer requirements</w:t>
            </w:r>
          </w:p>
          <w:p w:rsidR="00000000" w:rsidP="00DB2C5C">
            <w:pPr>
              <w:pStyle w:val="ListBullet"/>
              <w:rPr>
                <w:lang w:val="en-NZ"/>
              </w:rPr>
            </w:pPr>
            <w:r w:rsidRPr="00DB2C5C">
              <w:t>multibroaching</w:t>
            </w:r>
          </w:p>
        </w:tc>
      </w:tr>
      <w:tr w:rsidTr="00DB2C5C">
        <w:tblPrEx>
          <w:tblW w:w="0" w:type="auto"/>
          <w:tblLayout w:type="fixed"/>
          <w:tblCellMar>
            <w:left w:w="62" w:type="dxa"/>
            <w:right w:w="62" w:type="dxa"/>
          </w:tblCellMar>
          <w:tblLook w:val="0000"/>
        </w:tblPrEx>
        <w:trPr>
          <w:trHeight w:val="1542"/>
        </w:trPr>
        <w:tc>
          <w:tcPr>
            <w:tcW w:w="2641" w:type="dxa"/>
            <w:tcBorders>
              <w:top w:val="nil"/>
              <w:left w:val="nil"/>
              <w:bottom w:val="nil"/>
              <w:right w:val="nil"/>
            </w:tcBorders>
            <w:tcMar>
              <w:top w:w="0" w:type="dxa"/>
              <w:left w:w="62" w:type="dxa"/>
              <w:bottom w:w="0" w:type="dxa"/>
              <w:right w:w="62" w:type="dxa"/>
            </w:tcMar>
          </w:tcPr>
          <w:p w:rsidR="00000000" w:rsidP="00DB2C5C">
            <w:pPr>
              <w:pStyle w:val="BodyText"/>
              <w:rPr>
                <w:lang w:val="en-NZ"/>
              </w:rPr>
            </w:pPr>
            <w:r w:rsidRPr="00DB2C5C">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B2C5C" w:rsidP="00DB2C5C">
            <w:pPr>
              <w:pStyle w:val="ListBullet"/>
            </w:pPr>
            <w:r w:rsidRPr="00DB2C5C">
              <w:t>materials used</w:t>
            </w:r>
          </w:p>
          <w:p w:rsidR="00000000" w:rsidRPr="00DB2C5C" w:rsidP="00DB2C5C">
            <w:pPr>
              <w:pStyle w:val="ListBullet"/>
            </w:pPr>
            <w:r w:rsidRPr="00DB2C5C">
              <w:t>masterkey pl</w:t>
            </w:r>
            <w:r w:rsidRPr="00DB2C5C">
              <w:t>ans:</w:t>
            </w:r>
          </w:p>
          <w:p w:rsidR="00000000" w:rsidRPr="00DB2C5C" w:rsidP="00DB2C5C">
            <w:pPr>
              <w:pStyle w:val="ListBullet2"/>
            </w:pPr>
            <w:r w:rsidRPr="00DB2C5C">
              <w:t xml:space="preserve">key and door schedules </w:t>
            </w:r>
          </w:p>
          <w:p w:rsidR="00000000" w:rsidRPr="00DB2C5C" w:rsidP="00DB2C5C">
            <w:pPr>
              <w:pStyle w:val="ListBullet2"/>
            </w:pPr>
            <w:r w:rsidRPr="00DB2C5C">
              <w:t xml:space="preserve">code matrices </w:t>
            </w:r>
          </w:p>
          <w:p w:rsidR="00000000" w:rsidRPr="00DB2C5C" w:rsidP="00DB2C5C">
            <w:pPr>
              <w:pStyle w:val="ListBullet2"/>
            </w:pPr>
            <w:r w:rsidRPr="00DB2C5C">
              <w:t xml:space="preserve">pinning charts </w:t>
            </w:r>
          </w:p>
          <w:p w:rsidR="00000000" w:rsidRPr="00DB2C5C" w:rsidP="00DB2C5C">
            <w:pPr>
              <w:pStyle w:val="ListBullet"/>
            </w:pPr>
            <w:r w:rsidRPr="00DB2C5C">
              <w:t xml:space="preserve">job sheets </w:t>
            </w:r>
          </w:p>
          <w:p w:rsidR="00000000" w:rsidRPr="00DB2C5C" w:rsidP="00DB2C5C">
            <w:pPr>
              <w:pStyle w:val="ListBullet"/>
            </w:pPr>
            <w:r w:rsidRPr="00DB2C5C">
              <w:t xml:space="preserve">manufacturer documentation </w:t>
            </w:r>
          </w:p>
          <w:p w:rsidR="00000000" w:rsidRPr="00DB2C5C" w:rsidP="00DB2C5C">
            <w:pPr>
              <w:pStyle w:val="ListBullet"/>
            </w:pPr>
            <w:r w:rsidRPr="00DB2C5C">
              <w:t>identified faults</w:t>
            </w:r>
          </w:p>
          <w:p w:rsidR="00000000" w:rsidRPr="00DB2C5C" w:rsidP="00DB2C5C">
            <w:pPr>
              <w:pStyle w:val="ListBullet"/>
            </w:pPr>
            <w:r w:rsidRPr="00DB2C5C">
              <w:t xml:space="preserve">warranties and recommendations </w:t>
            </w:r>
          </w:p>
          <w:p w:rsidR="00000000" w:rsidRPr="00DB2C5C" w:rsidP="00DB2C5C">
            <w:pPr>
              <w:pStyle w:val="ListBullet"/>
            </w:pPr>
            <w:r w:rsidRPr="00DB2C5C">
              <w:t>costs</w:t>
            </w:r>
          </w:p>
        </w:tc>
      </w:tr>
    </w:tbl>
    <w:p w:rsidR="00000000" w:rsidRPr="00DB2C5C" w:rsidP="00DB2C5C">
      <w:pPr>
        <w:pStyle w:val="BodyText"/>
      </w:pPr>
    </w:p>
    <w:p w:rsidR="00000000" w:rsidRPr="00DB2C5C" w:rsidP="00DB2C5C">
      <w:pPr>
        <w:pStyle w:val="AllowPageBreak"/>
      </w:pPr>
    </w:p>
    <w:p w:rsidR="00000000" w:rsidRPr="00DB2C5C" w:rsidP="00DB2C5C">
      <w:pPr>
        <w:pStyle w:val="Heading1"/>
      </w:pPr>
      <w:bookmarkStart w:id="8" w:name="O_950971"/>
      <w:bookmarkEnd w:id="8"/>
      <w:r w:rsidRPr="00DB2C5C">
        <w:t>Unit Mapping Information</w:t>
      </w:r>
    </w:p>
    <w:p w:rsidR="00000000" w:rsidRPr="00DB2C5C" w:rsidP="00705FBF">
      <w:pPr>
        <w:pStyle w:val="BodyText"/>
      </w:pPr>
      <w:r w:rsidRPr="00DB2C5C">
        <w:t>Release 1. Supersedes and is equivalent to MEM20007A Plan and prepare a masterkey system</w:t>
      </w:r>
    </w:p>
    <w:p w:rsidR="00000000" w:rsidRPr="00DB2C5C" w:rsidP="00DB2C5C">
      <w:pPr>
        <w:pStyle w:val="Heading1"/>
      </w:pPr>
      <w:bookmarkStart w:id="9" w:name="O_950964"/>
      <w:bookmarkEnd w:id="9"/>
      <w:r w:rsidRPr="00DB2C5C">
        <w:t>Links</w:t>
      </w:r>
    </w:p>
    <w:p w:rsidR="00000000" w:rsidRPr="00DB2C5C" w:rsidP="00705FBF">
      <w:pPr>
        <w:pStyle w:val="BodyText"/>
      </w:pPr>
      <w:r w:rsidRPr="00DB2C5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B1A4F">
        <w:rPr>
          <w:rStyle w:val="Hyperlink"/>
        </w:rPr>
        <w:t>https://vetnet.gov.au/Pages/TrainingDocs.aspx?q=b7050d37-5fd0-4740-8f7d-3b7a49c10bb2</w:t>
      </w:r>
      <w:r>
        <w:fldChar w:fldCharType="end"/>
      </w:r>
    </w:p>
    <w:p w:rsidR="00000000" w:rsidRPr="00DB2C5C" w:rsidP="00DB2C5C"/>
    <w:sectPr w:rsidSect="00DB2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5C" w:rsidRPr="00705FBF" w:rsidP="00705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BF" w:rsidP="00DB2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FBF" w:rsidP="00DB2C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5FBF" w:rsidP="00DB2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C5C" w:rsidRPr="00705FBF" w:rsidP="00705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FBF" w:rsidRPr="002D2AF8" w:rsidP="00DB2C5C">
    <w:pPr>
      <w:pStyle w:val="Header"/>
      <w:framePr w:wrap="around"/>
    </w:pPr>
    <w:r>
      <w:fldChar w:fldCharType="begin"/>
    </w:r>
    <w:r>
      <w:instrText xml:space="preserve"> TITLE   \* MERGEFORMAT </w:instrText>
    </w:r>
    <w:r>
      <w:fldChar w:fldCharType="separate"/>
    </w:r>
    <w:r>
      <w:t>MEM20007 Plan and prepare a masterkey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705FBF" w:rsidP="00DB2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E4A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E7F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C415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C5C"/>
    <w:pPr>
      <w:spacing w:before="360" w:after="60"/>
      <w:outlineLvl w:val="0"/>
    </w:pPr>
    <w:rPr>
      <w:sz w:val="32"/>
    </w:rPr>
  </w:style>
  <w:style w:type="paragraph" w:styleId="Heading2">
    <w:name w:val="heading 2"/>
    <w:basedOn w:val="HeadingBase"/>
    <w:next w:val="BodyText"/>
    <w:link w:val="Heading2Char"/>
    <w:qFormat/>
    <w:rsid w:val="00DB2C5C"/>
    <w:pPr>
      <w:keepLines/>
      <w:spacing w:before="240" w:after="120"/>
      <w:outlineLvl w:val="1"/>
    </w:pPr>
    <w:rPr>
      <w:sz w:val="28"/>
      <w:szCs w:val="40"/>
    </w:rPr>
  </w:style>
  <w:style w:type="paragraph" w:styleId="Heading3">
    <w:name w:val="heading 3"/>
    <w:basedOn w:val="HeadingBase"/>
    <w:next w:val="BodyText"/>
    <w:link w:val="Heading3Char"/>
    <w:qFormat/>
    <w:rsid w:val="00DB2C5C"/>
    <w:pPr>
      <w:spacing w:before="180" w:after="120"/>
      <w:outlineLvl w:val="2"/>
    </w:pPr>
    <w:rPr>
      <w:spacing w:val="-10"/>
      <w:kern w:val="32"/>
    </w:rPr>
  </w:style>
  <w:style w:type="paragraph" w:styleId="Heading4">
    <w:name w:val="heading 4"/>
    <w:basedOn w:val="HeadingBase"/>
    <w:next w:val="BodyText"/>
    <w:link w:val="Heading4Char"/>
    <w:qFormat/>
    <w:rsid w:val="00DB2C5C"/>
    <w:pPr>
      <w:spacing w:before="160" w:after="120"/>
      <w:outlineLvl w:val="3"/>
    </w:pPr>
    <w:rPr>
      <w:sz w:val="22"/>
    </w:rPr>
  </w:style>
  <w:style w:type="paragraph" w:styleId="Heading5">
    <w:name w:val="heading 5"/>
    <w:basedOn w:val="HeadingBase"/>
    <w:next w:val="Normal"/>
    <w:link w:val="Heading5Char"/>
    <w:qFormat/>
    <w:rsid w:val="00DB2C5C"/>
    <w:pPr>
      <w:spacing w:before="80"/>
      <w:outlineLvl w:val="4"/>
    </w:pPr>
    <w:rPr>
      <w:color w:val="918585"/>
      <w:sz w:val="20"/>
    </w:rPr>
  </w:style>
  <w:style w:type="paragraph" w:styleId="Heading6">
    <w:name w:val="heading 6"/>
    <w:basedOn w:val="HeadingBase"/>
    <w:next w:val="Normal"/>
    <w:link w:val="Heading6Char"/>
    <w:qFormat/>
    <w:rsid w:val="00DB2C5C"/>
    <w:pPr>
      <w:spacing w:before="60"/>
      <w:outlineLvl w:val="5"/>
    </w:pPr>
    <w:rPr>
      <w:color w:val="918585"/>
      <w:sz w:val="20"/>
    </w:rPr>
  </w:style>
  <w:style w:type="paragraph" w:styleId="Heading7">
    <w:name w:val="heading 7"/>
    <w:basedOn w:val="Normal"/>
    <w:next w:val="Normal"/>
    <w:link w:val="Heading7Char"/>
    <w:qFormat/>
    <w:rsid w:val="00DB2C5C"/>
    <w:pPr>
      <w:ind w:left="720"/>
      <w:outlineLvl w:val="6"/>
    </w:pPr>
    <w:rPr>
      <w:i/>
    </w:rPr>
  </w:style>
  <w:style w:type="paragraph" w:styleId="Heading8">
    <w:name w:val="heading 8"/>
    <w:basedOn w:val="Normal"/>
    <w:next w:val="Normal"/>
    <w:link w:val="Heading8Char"/>
    <w:qFormat/>
    <w:rsid w:val="00DB2C5C"/>
    <w:pPr>
      <w:ind w:left="720"/>
      <w:outlineLvl w:val="7"/>
    </w:pPr>
    <w:rPr>
      <w:i/>
    </w:rPr>
  </w:style>
  <w:style w:type="paragraph" w:styleId="Heading9">
    <w:name w:val="heading 9"/>
    <w:basedOn w:val="Normal"/>
    <w:next w:val="Normal"/>
    <w:link w:val="Heading9Char"/>
    <w:qFormat/>
    <w:rsid w:val="00DB2C5C"/>
    <w:pPr>
      <w:ind w:left="720"/>
      <w:outlineLvl w:val="8"/>
    </w:pPr>
    <w:rPr>
      <w:i/>
    </w:rPr>
  </w:style>
  <w:style w:type="character" w:default="1" w:styleId="DefaultParagraphFont">
    <w:name w:val="Default Paragraph Font"/>
    <w:uiPriority w:val="1"/>
    <w:unhideWhenUsed/>
    <w:rsid w:val="00DB2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C5C"/>
  </w:style>
  <w:style w:type="character" w:customStyle="1" w:styleId="Heading1Char">
    <w:name w:val="Heading 1 Char"/>
    <w:basedOn w:val="DefaultParagraphFont"/>
    <w:link w:val="Heading1"/>
    <w:rsid w:val="00DB2C5C"/>
    <w:rPr>
      <w:rFonts w:ascii="Times New Roman" w:eastAsia="Times New Roman" w:hAnsi="Times New Roman" w:cs="Times New Roman"/>
      <w:b/>
      <w:sz w:val="32"/>
      <w:szCs w:val="20"/>
      <w:lang w:eastAsia="en-US"/>
    </w:rPr>
  </w:style>
  <w:style w:type="paragraph" w:styleId="BodyText">
    <w:name w:val="Body Text"/>
    <w:basedOn w:val="Normal"/>
    <w:link w:val="BodyTextChar"/>
    <w:rsid w:val="00DB2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C5C"/>
    <w:rPr>
      <w:rFonts w:ascii="Times New Roman" w:eastAsia="Times New Roman" w:hAnsi="Times New Roman" w:cs="Times New Roman"/>
      <w:sz w:val="24"/>
      <w:lang w:eastAsia="en-US"/>
    </w:rPr>
  </w:style>
  <w:style w:type="paragraph" w:styleId="ListBullet">
    <w:name w:val="List Bullet"/>
    <w:basedOn w:val="List"/>
    <w:rsid w:val="00DB2C5C"/>
    <w:pPr>
      <w:numPr>
        <w:numId w:val="12"/>
      </w:numPr>
      <w:tabs>
        <w:tab w:val="clear" w:pos="340"/>
      </w:tabs>
      <w:spacing w:before="40" w:after="40"/>
    </w:pPr>
  </w:style>
  <w:style w:type="character" w:customStyle="1" w:styleId="SpecialBold">
    <w:name w:val="Special Bold"/>
    <w:basedOn w:val="DefaultParagraphFont"/>
    <w:rsid w:val="00DB2C5C"/>
    <w:rPr>
      <w:b/>
      <w:spacing w:val="0"/>
    </w:rPr>
  </w:style>
  <w:style w:type="paragraph" w:styleId="ListBullet2">
    <w:name w:val="List Bullet 2"/>
    <w:basedOn w:val="List2"/>
    <w:rsid w:val="00DB2C5C"/>
    <w:pPr>
      <w:numPr>
        <w:numId w:val="13"/>
      </w:numPr>
      <w:tabs>
        <w:tab w:val="clear" w:pos="680"/>
      </w:tabs>
    </w:pPr>
  </w:style>
  <w:style w:type="paragraph" w:customStyle="1" w:styleId="SuperHeading">
    <w:name w:val="SuperHeading"/>
    <w:basedOn w:val="Normal"/>
    <w:rsid w:val="00DB2C5C"/>
    <w:pPr>
      <w:spacing w:before="240" w:after="120"/>
      <w:outlineLvl w:val="0"/>
    </w:pPr>
    <w:rPr>
      <w:rFonts w:ascii="Times New Roman" w:hAnsi="Times New Roman"/>
      <w:b/>
      <w:sz w:val="32"/>
    </w:rPr>
  </w:style>
  <w:style w:type="paragraph" w:customStyle="1" w:styleId="AllowPageBreak">
    <w:name w:val="AllowPageBreak"/>
    <w:rsid w:val="00DB2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C5C"/>
    <w:rPr>
      <w:rFonts w:ascii="Courier New" w:eastAsia="Times New Roman" w:hAnsi="Courier New" w:cs="Times New Roman"/>
      <w:i/>
      <w:szCs w:val="20"/>
      <w:lang w:eastAsia="en-US"/>
    </w:rPr>
  </w:style>
  <w:style w:type="paragraph" w:customStyle="1" w:styleId="HeadingBase">
    <w:name w:val="Heading Base"/>
    <w:rsid w:val="00DB2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C5C"/>
    <w:pPr>
      <w:tabs>
        <w:tab w:val="right" w:leader="dot" w:pos="9072"/>
      </w:tabs>
      <w:ind w:left="567"/>
    </w:pPr>
    <w:rPr>
      <w:szCs w:val="22"/>
    </w:rPr>
  </w:style>
  <w:style w:type="paragraph" w:customStyle="1" w:styleId="TOCBase">
    <w:name w:val="TOC Base"/>
    <w:rsid w:val="00DB2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C5C"/>
    <w:pPr>
      <w:tabs>
        <w:tab w:val="right" w:leader="dot" w:pos="9072"/>
      </w:tabs>
      <w:spacing w:before="40" w:after="40"/>
      <w:ind w:left="284"/>
    </w:pPr>
    <w:rPr>
      <w:rFonts w:ascii="Times New Roman" w:hAnsi="Times New Roman"/>
    </w:rPr>
  </w:style>
  <w:style w:type="paragraph" w:styleId="TOC1">
    <w:name w:val="toc 1"/>
    <w:basedOn w:val="TOCBase"/>
    <w:next w:val="Normal"/>
    <w:rsid w:val="00DB2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C5C"/>
    <w:rPr>
      <w:rFonts w:ascii="Times New Roman" w:eastAsia="Times New Roman" w:hAnsi="Times New Roman" w:cs="Times New Roman"/>
      <w:sz w:val="16"/>
      <w:lang w:eastAsia="en-US"/>
    </w:rPr>
  </w:style>
  <w:style w:type="paragraph" w:styleId="Title">
    <w:name w:val="Title"/>
    <w:basedOn w:val="HeadingBase"/>
    <w:link w:val="TitleChar"/>
    <w:qFormat/>
    <w:rsid w:val="00DB2C5C"/>
    <w:pPr>
      <w:spacing w:before="5040"/>
      <w:jc w:val="center"/>
    </w:pPr>
    <w:rPr>
      <w:sz w:val="48"/>
      <w:szCs w:val="72"/>
      <w:lang w:val="en-US"/>
    </w:rPr>
  </w:style>
  <w:style w:type="character" w:customStyle="1" w:styleId="TitleChar">
    <w:name w:val="Title Char"/>
    <w:basedOn w:val="DefaultParagraphFont"/>
    <w:link w:val="Title"/>
    <w:rsid w:val="00DB2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C5C"/>
    <w:pPr>
      <w:tabs>
        <w:tab w:val="left" w:pos="3600"/>
        <w:tab w:val="left" w:pos="3958"/>
      </w:tabs>
    </w:pPr>
  </w:style>
  <w:style w:type="paragraph" w:styleId="List">
    <w:name w:val="List"/>
    <w:basedOn w:val="BodyText"/>
    <w:next w:val="BodyText"/>
    <w:rsid w:val="00DB2C5C"/>
    <w:pPr>
      <w:tabs>
        <w:tab w:val="left" w:pos="340"/>
      </w:tabs>
      <w:spacing w:before="60" w:after="60"/>
      <w:ind w:left="340" w:hanging="340"/>
    </w:pPr>
  </w:style>
  <w:style w:type="paragraph" w:customStyle="1" w:styleId="Note">
    <w:name w:val="Note"/>
    <w:basedOn w:val="BodyText"/>
    <w:rsid w:val="00DB2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C5C"/>
    <w:pPr>
      <w:framePr w:wrap="auto" w:hAnchor="text" w:y="6049"/>
    </w:pPr>
    <w:rPr>
      <w:color w:val="000000"/>
      <w:sz w:val="40"/>
    </w:rPr>
  </w:style>
  <w:style w:type="paragraph" w:customStyle="1" w:styleId="TOCTitle">
    <w:name w:val="TOCTitle"/>
    <w:basedOn w:val="Heading1"/>
    <w:rsid w:val="00DB2C5C"/>
    <w:pPr>
      <w:spacing w:after="240"/>
      <w:jc w:val="center"/>
      <w:outlineLvl w:val="9"/>
    </w:pPr>
    <w:rPr>
      <w:caps/>
    </w:rPr>
  </w:style>
  <w:style w:type="paragraph" w:customStyle="1" w:styleId="Version">
    <w:name w:val="Version"/>
    <w:rsid w:val="00DB2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C5C"/>
    <w:pPr>
      <w:keepNext w:val="0"/>
      <w:tabs>
        <w:tab w:val="right" w:pos="4176"/>
      </w:tabs>
      <w:ind w:left="198" w:hanging="198"/>
    </w:pPr>
    <w:rPr>
      <w:rFonts w:ascii="Garamond" w:hAnsi="Garamond"/>
    </w:rPr>
  </w:style>
  <w:style w:type="paragraph" w:styleId="IndexHeading">
    <w:name w:val="index heading"/>
    <w:basedOn w:val="Normal"/>
    <w:next w:val="Index1"/>
    <w:semiHidden/>
    <w:rsid w:val="00DB2C5C"/>
    <w:pPr>
      <w:spacing w:before="120" w:after="120"/>
    </w:pPr>
    <w:rPr>
      <w:rFonts w:ascii="Arial" w:hAnsi="Arial"/>
      <w:b/>
      <w:color w:val="918585"/>
      <w:sz w:val="24"/>
    </w:rPr>
  </w:style>
  <w:style w:type="paragraph" w:styleId="Header">
    <w:name w:val="header"/>
    <w:basedOn w:val="Normal"/>
    <w:link w:val="HeaderChar"/>
    <w:rsid w:val="00DB2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C5C"/>
    <w:rPr>
      <w:rFonts w:ascii="Times New Roman" w:eastAsia="Times New Roman" w:hAnsi="Times New Roman" w:cs="Times New Roman"/>
      <w:sz w:val="16"/>
      <w:szCs w:val="20"/>
      <w:lang w:val="en-GB" w:eastAsia="en-US"/>
    </w:rPr>
  </w:style>
  <w:style w:type="paragraph" w:customStyle="1" w:styleId="Chapter">
    <w:name w:val="Chapter"/>
    <w:basedOn w:val="Normal"/>
    <w:rsid w:val="00DB2C5C"/>
    <w:pPr>
      <w:spacing w:before="240"/>
    </w:pPr>
    <w:rPr>
      <w:rFonts w:ascii="Times New Roman" w:hAnsi="Times New Roman"/>
      <w:smallCaps/>
      <w:spacing w:val="80"/>
      <w:sz w:val="28"/>
    </w:rPr>
  </w:style>
  <w:style w:type="paragraph" w:customStyle="1" w:styleId="InChapter">
    <w:name w:val="InChapter"/>
    <w:basedOn w:val="Heading3"/>
    <w:rsid w:val="00DB2C5C"/>
    <w:pPr>
      <w:spacing w:after="240"/>
      <w:outlineLvl w:val="9"/>
    </w:pPr>
    <w:rPr>
      <w:noProof/>
    </w:rPr>
  </w:style>
  <w:style w:type="paragraph" w:styleId="Index2">
    <w:name w:val="index 2"/>
    <w:basedOn w:val="Normal"/>
    <w:next w:val="Normal"/>
    <w:semiHidden/>
    <w:rsid w:val="00DB2C5C"/>
    <w:pPr>
      <w:tabs>
        <w:tab w:val="right" w:pos="4176"/>
      </w:tabs>
      <w:ind w:left="568" w:hanging="284"/>
    </w:pPr>
    <w:rPr>
      <w:rFonts w:ascii="Garamond" w:hAnsi="Garamond"/>
    </w:rPr>
  </w:style>
  <w:style w:type="paragraph" w:customStyle="1" w:styleId="Byline">
    <w:name w:val="Byline"/>
    <w:rsid w:val="00DB2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C5C"/>
    <w:pPr>
      <w:tabs>
        <w:tab w:val="clear" w:pos="3600"/>
        <w:tab w:val="clear" w:pos="3958"/>
      </w:tabs>
      <w:jc w:val="right"/>
    </w:pPr>
  </w:style>
  <w:style w:type="character" w:styleId="Emphasis">
    <w:name w:val="Emphasis"/>
    <w:basedOn w:val="DefaultParagraphFont"/>
    <w:qFormat/>
    <w:rsid w:val="00DB2C5C"/>
    <w:rPr>
      <w:i/>
    </w:rPr>
  </w:style>
  <w:style w:type="paragraph" w:styleId="Caption">
    <w:name w:val="caption"/>
    <w:basedOn w:val="BodyText"/>
    <w:next w:val="Normal"/>
    <w:qFormat/>
    <w:rsid w:val="00DB2C5C"/>
    <w:pPr>
      <w:framePr w:w="2268" w:hSpace="181" w:vSpace="181" w:wrap="around" w:vAnchor="text" w:hAnchor="page" w:x="1135" w:y="285" w:anchorLock="1"/>
    </w:pPr>
    <w:rPr>
      <w:i/>
    </w:rPr>
  </w:style>
  <w:style w:type="paragraph" w:customStyle="1" w:styleId="MiniTOCTitle">
    <w:name w:val="MiniTOCTitle"/>
    <w:basedOn w:val="Heading4"/>
    <w:rsid w:val="00DB2C5C"/>
    <w:pPr>
      <w:spacing w:before="240"/>
      <w:outlineLvl w:val="9"/>
    </w:pPr>
    <w:rPr>
      <w:noProof/>
      <w:sz w:val="24"/>
    </w:rPr>
  </w:style>
  <w:style w:type="paragraph" w:customStyle="1" w:styleId="MiniTOCItem">
    <w:name w:val="MiniTOCItem"/>
    <w:basedOn w:val="ListBullet"/>
    <w:rsid w:val="00DB2C5C"/>
    <w:pPr>
      <w:numPr>
        <w:numId w:val="0"/>
      </w:numPr>
      <w:tabs>
        <w:tab w:val="right" w:leader="dot" w:pos="6521"/>
      </w:tabs>
      <w:spacing w:before="0" w:after="0"/>
    </w:pPr>
  </w:style>
  <w:style w:type="paragraph" w:customStyle="1" w:styleId="TOFTitle">
    <w:name w:val="TOFTitle"/>
    <w:basedOn w:val="TOCTitle"/>
    <w:rsid w:val="00DB2C5C"/>
  </w:style>
  <w:style w:type="paragraph" w:styleId="TableofFigures">
    <w:name w:val="table of figures"/>
    <w:basedOn w:val="Normal"/>
    <w:next w:val="Normal"/>
    <w:semiHidden/>
    <w:rsid w:val="00DB2C5C"/>
    <w:pPr>
      <w:tabs>
        <w:tab w:val="right" w:leader="dot" w:pos="9072"/>
      </w:tabs>
      <w:ind w:left="970" w:hanging="403"/>
    </w:pPr>
    <w:rPr>
      <w:rFonts w:ascii="Times New Roman" w:hAnsi="Times New Roman"/>
      <w:b/>
    </w:rPr>
  </w:style>
  <w:style w:type="paragraph" w:styleId="ListNumber">
    <w:name w:val="List Number"/>
    <w:basedOn w:val="List"/>
    <w:rsid w:val="00DB2C5C"/>
    <w:pPr>
      <w:numPr>
        <w:numId w:val="15"/>
      </w:numPr>
      <w:tabs>
        <w:tab w:val="clear" w:pos="340"/>
      </w:tabs>
    </w:pPr>
  </w:style>
  <w:style w:type="character" w:customStyle="1" w:styleId="WingdingSymbols">
    <w:name w:val="Wingding Symbols"/>
    <w:rsid w:val="00DB2C5C"/>
    <w:rPr>
      <w:rFonts w:ascii="Wingdings" w:hAnsi="Wingdings"/>
    </w:rPr>
  </w:style>
  <w:style w:type="paragraph" w:customStyle="1" w:styleId="TableHeading">
    <w:name w:val="Table Heading"/>
    <w:basedOn w:val="HeadingBase"/>
    <w:rsid w:val="00DB2C5C"/>
    <w:pPr>
      <w:keepLines/>
      <w:pBdr>
        <w:bottom w:val="single" w:sz="6" w:space="1" w:color="918585"/>
      </w:pBdr>
      <w:spacing w:before="240"/>
    </w:pPr>
  </w:style>
  <w:style w:type="character" w:customStyle="1" w:styleId="HotSpot">
    <w:name w:val="HotSpot"/>
    <w:rsid w:val="00DB2C5C"/>
    <w:rPr>
      <w:color w:val="0033CC"/>
      <w:u w:val="none"/>
    </w:rPr>
  </w:style>
  <w:style w:type="paragraph" w:customStyle="1" w:styleId="BodyTextRight">
    <w:name w:val="Body Text Right"/>
    <w:basedOn w:val="BodyText"/>
    <w:rsid w:val="00DB2C5C"/>
    <w:pPr>
      <w:spacing w:before="0" w:after="0"/>
      <w:jc w:val="right"/>
    </w:pPr>
  </w:style>
  <w:style w:type="paragraph" w:styleId="Index3">
    <w:name w:val="index 3"/>
    <w:basedOn w:val="ListNumber2"/>
    <w:next w:val="Normal"/>
    <w:semiHidden/>
    <w:rsid w:val="00DB2C5C"/>
    <w:pPr>
      <w:numPr>
        <w:numId w:val="0"/>
      </w:numPr>
      <w:tabs>
        <w:tab w:val="right" w:leader="dot" w:pos="4176"/>
      </w:tabs>
    </w:pPr>
  </w:style>
  <w:style w:type="paragraph" w:styleId="ListNumber2">
    <w:name w:val="List Number 2"/>
    <w:basedOn w:val="List2"/>
    <w:rsid w:val="00DB2C5C"/>
    <w:pPr>
      <w:numPr>
        <w:numId w:val="10"/>
      </w:numPr>
      <w:tabs>
        <w:tab w:val="clear" w:pos="1060"/>
      </w:tabs>
    </w:pPr>
  </w:style>
  <w:style w:type="paragraph" w:customStyle="1" w:styleId="MarginNote">
    <w:name w:val="Margin Note"/>
    <w:basedOn w:val="BodyText"/>
    <w:rsid w:val="00DB2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C5C"/>
    <w:rPr>
      <w:sz w:val="32"/>
    </w:rPr>
  </w:style>
  <w:style w:type="paragraph" w:customStyle="1" w:styleId="HeadingProcedure">
    <w:name w:val="Heading Procedure"/>
    <w:basedOn w:val="HeadingBase"/>
    <w:next w:val="Normal"/>
    <w:rsid w:val="00DB2C5C"/>
    <w:pPr>
      <w:tabs>
        <w:tab w:val="left" w:pos="0"/>
      </w:tabs>
      <w:spacing w:before="120" w:after="60"/>
    </w:pPr>
    <w:rPr>
      <w:i/>
      <w:color w:val="918585"/>
      <w:sz w:val="22"/>
    </w:rPr>
  </w:style>
  <w:style w:type="paragraph" w:customStyle="1" w:styleId="TableBodyText">
    <w:name w:val="Table Body Text"/>
    <w:basedOn w:val="BodyText"/>
    <w:rsid w:val="00DB2C5C"/>
    <w:pPr>
      <w:spacing w:before="60" w:after="60"/>
    </w:pPr>
  </w:style>
  <w:style w:type="paragraph" w:styleId="ListContinue">
    <w:name w:val="List Continue"/>
    <w:basedOn w:val="List"/>
    <w:rsid w:val="00DB2C5C"/>
    <w:pPr>
      <w:ind w:firstLine="0"/>
    </w:pPr>
  </w:style>
  <w:style w:type="paragraph" w:customStyle="1" w:styleId="ListNote">
    <w:name w:val="List Note"/>
    <w:basedOn w:val="List"/>
    <w:rsid w:val="00DB2C5C"/>
    <w:pPr>
      <w:pBdr>
        <w:top w:val="single" w:sz="6" w:space="2" w:color="918585"/>
        <w:bottom w:val="single" w:sz="6" w:space="2" w:color="918585"/>
      </w:pBdr>
      <w:tabs>
        <w:tab w:val="left" w:pos="1021"/>
      </w:tabs>
      <w:ind w:firstLine="0"/>
    </w:pPr>
  </w:style>
  <w:style w:type="paragraph" w:customStyle="1" w:styleId="Warning">
    <w:name w:val="Warning"/>
    <w:basedOn w:val="BodyText"/>
    <w:rsid w:val="00DB2C5C"/>
    <w:pPr>
      <w:shd w:val="clear" w:color="auto" w:fill="D9D9D9"/>
      <w:tabs>
        <w:tab w:val="left" w:pos="992"/>
      </w:tabs>
      <w:ind w:left="119" w:right="119"/>
    </w:pPr>
    <w:rPr>
      <w:sz w:val="20"/>
    </w:rPr>
  </w:style>
  <w:style w:type="paragraph" w:customStyle="1" w:styleId="MarginIcons">
    <w:name w:val="Margin Icons"/>
    <w:basedOn w:val="BodyText"/>
    <w:rsid w:val="00DB2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C5C"/>
    <w:rPr>
      <w:rFonts w:ascii="Courier New" w:hAnsi="Courier New"/>
    </w:rPr>
  </w:style>
  <w:style w:type="paragraph" w:customStyle="1" w:styleId="NoteBullet">
    <w:name w:val="Note Bullet"/>
    <w:basedOn w:val="Note"/>
    <w:rsid w:val="00DB2C5C"/>
    <w:pPr>
      <w:tabs>
        <w:tab w:val="clear" w:pos="680"/>
      </w:tabs>
      <w:spacing w:before="60" w:after="60"/>
    </w:pPr>
  </w:style>
  <w:style w:type="paragraph" w:customStyle="1" w:styleId="SubHeading2">
    <w:name w:val="SubHeading2"/>
    <w:basedOn w:val="HeadingBase"/>
    <w:rsid w:val="00DB2C5C"/>
    <w:pPr>
      <w:spacing w:before="240" w:after="60"/>
    </w:pPr>
    <w:rPr>
      <w:sz w:val="20"/>
    </w:rPr>
  </w:style>
  <w:style w:type="paragraph" w:customStyle="1" w:styleId="SubHeading1">
    <w:name w:val="SubHeading1"/>
    <w:basedOn w:val="HeadingBase"/>
    <w:rsid w:val="00DB2C5C"/>
    <w:pPr>
      <w:spacing w:before="240" w:after="60"/>
    </w:pPr>
    <w:rPr>
      <w:color w:val="918585"/>
      <w:sz w:val="22"/>
    </w:rPr>
  </w:style>
  <w:style w:type="paragraph" w:customStyle="1" w:styleId="SideHeading">
    <w:name w:val="Side Heading"/>
    <w:basedOn w:val="HeadingBase"/>
    <w:rsid w:val="00DB2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C5C"/>
    <w:pPr>
      <w:tabs>
        <w:tab w:val="num" w:pos="360"/>
      </w:tabs>
    </w:pPr>
  </w:style>
  <w:style w:type="paragraph" w:styleId="PlainText">
    <w:name w:val="Plain Text"/>
    <w:basedOn w:val="Normal"/>
    <w:link w:val="PlainTextChar"/>
    <w:rsid w:val="00DB2C5C"/>
    <w:rPr>
      <w:sz w:val="20"/>
    </w:rPr>
  </w:style>
  <w:style w:type="character" w:customStyle="1" w:styleId="PlainTextChar">
    <w:name w:val="Plain Text Char"/>
    <w:basedOn w:val="DefaultParagraphFont"/>
    <w:link w:val="PlainText"/>
    <w:rsid w:val="00DB2C5C"/>
    <w:rPr>
      <w:rFonts w:ascii="Courier New" w:eastAsia="Times New Roman" w:hAnsi="Courier New" w:cs="Times New Roman"/>
      <w:sz w:val="20"/>
      <w:szCs w:val="20"/>
      <w:lang w:eastAsia="en-US"/>
    </w:rPr>
  </w:style>
  <w:style w:type="character" w:customStyle="1" w:styleId="MenuOption">
    <w:name w:val="Menu Option"/>
    <w:basedOn w:val="DefaultParagraphFont"/>
    <w:rsid w:val="00DB2C5C"/>
    <w:rPr>
      <w:b/>
      <w:smallCaps/>
    </w:rPr>
  </w:style>
  <w:style w:type="paragraph" w:customStyle="1" w:styleId="TableListNumber">
    <w:name w:val="Table List Number"/>
    <w:basedOn w:val="ListNumber"/>
    <w:rsid w:val="00DB2C5C"/>
    <w:pPr>
      <w:numPr>
        <w:numId w:val="0"/>
      </w:numPr>
    </w:pPr>
  </w:style>
  <w:style w:type="paragraph" w:styleId="TOC4">
    <w:name w:val="toc 4"/>
    <w:basedOn w:val="TOCBase"/>
    <w:next w:val="Normal"/>
    <w:semiHidden/>
    <w:rsid w:val="00DB2C5C"/>
    <w:pPr>
      <w:tabs>
        <w:tab w:val="right" w:leader="dot" w:pos="9071"/>
      </w:tabs>
      <w:ind w:left="1701"/>
    </w:pPr>
  </w:style>
  <w:style w:type="paragraph" w:customStyle="1" w:styleId="ListAlpha">
    <w:name w:val="List Alpha"/>
    <w:basedOn w:val="List"/>
    <w:rsid w:val="00DB2C5C"/>
    <w:pPr>
      <w:numPr>
        <w:numId w:val="9"/>
      </w:numPr>
    </w:pPr>
  </w:style>
  <w:style w:type="paragraph" w:customStyle="1" w:styleId="ListAlpha2">
    <w:name w:val="List Alpha 2"/>
    <w:basedOn w:val="List2"/>
    <w:rsid w:val="00DB2C5C"/>
    <w:pPr>
      <w:numPr>
        <w:numId w:val="8"/>
      </w:numPr>
    </w:pPr>
  </w:style>
  <w:style w:type="paragraph" w:styleId="List2">
    <w:name w:val="List 2"/>
    <w:basedOn w:val="BodyText"/>
    <w:rsid w:val="00DB2C5C"/>
    <w:pPr>
      <w:tabs>
        <w:tab w:val="left" w:pos="680"/>
      </w:tabs>
      <w:spacing w:before="60" w:after="60"/>
      <w:ind w:left="680" w:hanging="340"/>
    </w:pPr>
  </w:style>
  <w:style w:type="paragraph" w:styleId="List3">
    <w:name w:val="List 3"/>
    <w:basedOn w:val="BodyText"/>
    <w:rsid w:val="00DB2C5C"/>
    <w:pPr>
      <w:tabs>
        <w:tab w:val="left" w:pos="1021"/>
      </w:tabs>
      <w:spacing w:before="60" w:after="60"/>
      <w:ind w:left="1020" w:hanging="340"/>
    </w:pPr>
  </w:style>
  <w:style w:type="paragraph" w:styleId="List4">
    <w:name w:val="List 4"/>
    <w:basedOn w:val="BodyText"/>
    <w:rsid w:val="00DB2C5C"/>
    <w:pPr>
      <w:tabs>
        <w:tab w:val="left" w:pos="1361"/>
      </w:tabs>
      <w:spacing w:before="60" w:after="60"/>
      <w:ind w:left="1361" w:hanging="340"/>
    </w:pPr>
  </w:style>
  <w:style w:type="paragraph" w:styleId="List5">
    <w:name w:val="List 5"/>
    <w:basedOn w:val="BodyText"/>
    <w:rsid w:val="00DB2C5C"/>
    <w:pPr>
      <w:tabs>
        <w:tab w:val="left" w:pos="1701"/>
      </w:tabs>
      <w:spacing w:before="60" w:after="60"/>
      <w:ind w:left="1701" w:hanging="340"/>
    </w:pPr>
  </w:style>
  <w:style w:type="paragraph" w:styleId="ListBullet3">
    <w:name w:val="List Bullet 3"/>
    <w:basedOn w:val="List3"/>
    <w:rsid w:val="00DB2C5C"/>
    <w:pPr>
      <w:numPr>
        <w:numId w:val="14"/>
      </w:numPr>
      <w:tabs>
        <w:tab w:val="clear" w:pos="1021"/>
      </w:tabs>
      <w:ind w:left="1037" w:hanging="357"/>
    </w:pPr>
  </w:style>
  <w:style w:type="paragraph" w:styleId="ListBullet4">
    <w:name w:val="List Bullet 4"/>
    <w:basedOn w:val="List4"/>
    <w:rsid w:val="00DB2C5C"/>
    <w:pPr>
      <w:numPr>
        <w:numId w:val="3"/>
      </w:numPr>
      <w:tabs>
        <w:tab w:val="clear" w:pos="1361"/>
      </w:tabs>
    </w:pPr>
  </w:style>
  <w:style w:type="paragraph" w:styleId="ListBullet5">
    <w:name w:val="List Bullet 5"/>
    <w:basedOn w:val="List5"/>
    <w:rsid w:val="00DB2C5C"/>
    <w:pPr>
      <w:numPr>
        <w:numId w:val="4"/>
      </w:numPr>
    </w:pPr>
  </w:style>
  <w:style w:type="paragraph" w:styleId="ListContinue2">
    <w:name w:val="List Continue 2"/>
    <w:basedOn w:val="List2"/>
    <w:rsid w:val="00DB2C5C"/>
    <w:pPr>
      <w:ind w:firstLine="0"/>
    </w:pPr>
  </w:style>
  <w:style w:type="paragraph" w:styleId="ListContinue3">
    <w:name w:val="List Continue 3"/>
    <w:basedOn w:val="List3"/>
    <w:rsid w:val="00DB2C5C"/>
    <w:pPr>
      <w:ind w:left="1021" w:firstLine="0"/>
    </w:pPr>
  </w:style>
  <w:style w:type="paragraph" w:styleId="ListContinue4">
    <w:name w:val="List Continue 4"/>
    <w:basedOn w:val="List4"/>
    <w:rsid w:val="00DB2C5C"/>
    <w:pPr>
      <w:ind w:firstLine="0"/>
    </w:pPr>
  </w:style>
  <w:style w:type="paragraph" w:styleId="ListContinue5">
    <w:name w:val="List Continue 5"/>
    <w:basedOn w:val="List5"/>
    <w:rsid w:val="00DB2C5C"/>
    <w:pPr>
      <w:ind w:firstLine="0"/>
    </w:pPr>
  </w:style>
  <w:style w:type="paragraph" w:styleId="ListNumber3">
    <w:name w:val="List Number 3"/>
    <w:basedOn w:val="List3"/>
    <w:rsid w:val="00DB2C5C"/>
    <w:pPr>
      <w:numPr>
        <w:numId w:val="5"/>
      </w:numPr>
    </w:pPr>
  </w:style>
  <w:style w:type="paragraph" w:styleId="ListNumber4">
    <w:name w:val="List Number 4"/>
    <w:basedOn w:val="List4"/>
    <w:rsid w:val="00DB2C5C"/>
    <w:pPr>
      <w:numPr>
        <w:numId w:val="6"/>
      </w:numPr>
    </w:pPr>
  </w:style>
  <w:style w:type="paragraph" w:styleId="ListNumber5">
    <w:name w:val="List Number 5"/>
    <w:basedOn w:val="List5"/>
    <w:rsid w:val="00DB2C5C"/>
    <w:pPr>
      <w:numPr>
        <w:numId w:val="7"/>
      </w:numPr>
    </w:pPr>
  </w:style>
  <w:style w:type="paragraph" w:styleId="BlockText">
    <w:name w:val="Block Text"/>
    <w:basedOn w:val="Normal"/>
    <w:rsid w:val="00DB2C5C"/>
    <w:pPr>
      <w:spacing w:after="120"/>
      <w:ind w:left="1440" w:right="1440"/>
    </w:pPr>
  </w:style>
  <w:style w:type="character" w:customStyle="1" w:styleId="Subscript">
    <w:name w:val="Subscript"/>
    <w:basedOn w:val="DefaultParagraphFont"/>
    <w:rsid w:val="00DB2C5C"/>
    <w:rPr>
      <w:sz w:val="16"/>
      <w:vertAlign w:val="subscript"/>
    </w:rPr>
  </w:style>
  <w:style w:type="character" w:customStyle="1" w:styleId="Superscript">
    <w:name w:val="Superscript"/>
    <w:basedOn w:val="DefaultParagraphFont"/>
    <w:rsid w:val="00DB2C5C"/>
    <w:rPr>
      <w:sz w:val="16"/>
      <w:vertAlign w:val="superscript"/>
    </w:rPr>
  </w:style>
  <w:style w:type="character" w:customStyle="1" w:styleId="Symbols">
    <w:name w:val="Symbols"/>
    <w:basedOn w:val="DefaultParagraphFont"/>
    <w:rsid w:val="00DB2C5C"/>
    <w:rPr>
      <w:rFonts w:ascii="Symbol" w:hAnsi="Symbol"/>
    </w:rPr>
  </w:style>
  <w:style w:type="character" w:customStyle="1" w:styleId="MenuOptions">
    <w:name w:val="Menu Options"/>
    <w:basedOn w:val="DefaultParagraphFont"/>
    <w:rsid w:val="00DB2C5C"/>
    <w:rPr>
      <w:rFonts w:ascii="Arial Narrow" w:hAnsi="Arial Narrow"/>
      <w:smallCaps/>
    </w:rPr>
  </w:style>
  <w:style w:type="character" w:customStyle="1" w:styleId="Buttons">
    <w:name w:val="Buttons"/>
    <w:basedOn w:val="DefaultParagraphFont"/>
    <w:rsid w:val="00DB2C5C"/>
    <w:rPr>
      <w:b/>
    </w:rPr>
  </w:style>
  <w:style w:type="character" w:customStyle="1" w:styleId="Underlined">
    <w:name w:val="Underlined"/>
    <w:basedOn w:val="DefaultParagraphFont"/>
    <w:rsid w:val="00DB2C5C"/>
    <w:rPr>
      <w:u w:val="single"/>
    </w:rPr>
  </w:style>
  <w:style w:type="paragraph" w:customStyle="1" w:styleId="TableBodyTextRight">
    <w:name w:val="Table Body Text Right"/>
    <w:basedOn w:val="TableBodyText"/>
    <w:rsid w:val="00DB2C5C"/>
    <w:pPr>
      <w:widowControl w:val="0"/>
      <w:autoSpaceDE w:val="0"/>
      <w:autoSpaceDN w:val="0"/>
      <w:adjustRightInd w:val="0"/>
      <w:jc w:val="right"/>
    </w:pPr>
    <w:rPr>
      <w:rFonts w:cs="Arial"/>
      <w:szCs w:val="18"/>
    </w:rPr>
  </w:style>
  <w:style w:type="paragraph" w:customStyle="1" w:styleId="CopyrightText">
    <w:name w:val="Copyright Text"/>
    <w:basedOn w:val="BodyText"/>
    <w:rsid w:val="00DB2C5C"/>
    <w:rPr>
      <w:sz w:val="18"/>
    </w:rPr>
  </w:style>
  <w:style w:type="paragraph" w:customStyle="1" w:styleId="BodySmallRight">
    <w:name w:val="Body Small Right"/>
    <w:basedOn w:val="BodyTextRight"/>
    <w:rsid w:val="00DB2C5C"/>
    <w:rPr>
      <w:sz w:val="18"/>
      <w:szCs w:val="18"/>
    </w:rPr>
  </w:style>
  <w:style w:type="paragraph" w:customStyle="1" w:styleId="MarginEdition">
    <w:name w:val="Margin Edition"/>
    <w:basedOn w:val="MarginNote"/>
    <w:rsid w:val="00DB2C5C"/>
    <w:pPr>
      <w:spacing w:before="0" w:after="0"/>
    </w:pPr>
    <w:rPr>
      <w:rFonts w:ascii="Times New Roman" w:hAnsi="Times New Roman"/>
      <w:color w:val="999999"/>
    </w:rPr>
  </w:style>
  <w:style w:type="paragraph" w:customStyle="1" w:styleId="Spacer">
    <w:name w:val="Spacer"/>
    <w:basedOn w:val="Normal"/>
    <w:rsid w:val="00DB2C5C"/>
    <w:rPr>
      <w:sz w:val="2"/>
      <w:szCs w:val="2"/>
    </w:rPr>
  </w:style>
  <w:style w:type="character" w:customStyle="1" w:styleId="Small">
    <w:name w:val="Small"/>
    <w:basedOn w:val="DefaultParagraphFont"/>
    <w:rsid w:val="00DB2C5C"/>
    <w:rPr>
      <w:sz w:val="16"/>
    </w:rPr>
  </w:style>
  <w:style w:type="paragraph" w:customStyle="1" w:styleId="WideTable">
    <w:name w:val="Wide Table"/>
    <w:basedOn w:val="Normal"/>
    <w:rsid w:val="00DB2C5C"/>
    <w:pPr>
      <w:ind w:left="-1418"/>
    </w:pPr>
    <w:rPr>
      <w:sz w:val="2"/>
      <w:szCs w:val="2"/>
    </w:rPr>
  </w:style>
  <w:style w:type="character" w:styleId="PageNumber">
    <w:name w:val="page number"/>
    <w:basedOn w:val="DefaultParagraphFont"/>
    <w:rsid w:val="00DB2C5C"/>
  </w:style>
  <w:style w:type="paragraph" w:styleId="Quote">
    <w:name w:val="Quote"/>
    <w:basedOn w:val="Heading1"/>
    <w:link w:val="QuoteChar"/>
    <w:qFormat/>
    <w:rsid w:val="00DB2C5C"/>
    <w:rPr>
      <w:b w:val="0"/>
      <w:sz w:val="72"/>
      <w:szCs w:val="72"/>
      <w:lang w:val="en-NZ"/>
    </w:rPr>
  </w:style>
  <w:style w:type="character" w:customStyle="1" w:styleId="QuoteChar">
    <w:name w:val="Quote Char"/>
    <w:basedOn w:val="DefaultParagraphFont"/>
    <w:link w:val="Quote"/>
    <w:rsid w:val="00DB2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C5C"/>
    <w:pPr>
      <w:pageBreakBefore/>
    </w:pPr>
  </w:style>
  <w:style w:type="paragraph" w:customStyle="1" w:styleId="Border">
    <w:name w:val="Border"/>
    <w:basedOn w:val="Normal"/>
    <w:qFormat/>
    <w:rsid w:val="00DB2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C5C"/>
    <w:rPr>
      <w:b/>
      <w:bCs/>
      <w:i/>
      <w:iCs/>
      <w:color w:val="auto"/>
    </w:rPr>
  </w:style>
  <w:style w:type="paragraph" w:styleId="IntenseQuote">
    <w:name w:val="Intense Quote"/>
    <w:basedOn w:val="Normal"/>
    <w:next w:val="Normal"/>
    <w:link w:val="IntenseQuoteChar"/>
    <w:uiPriority w:val="30"/>
    <w:qFormat/>
    <w:rsid w:val="00DB2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C5C"/>
    <w:rPr>
      <w:smallCaps/>
      <w:color w:val="auto"/>
      <w:u w:val="single"/>
    </w:rPr>
  </w:style>
  <w:style w:type="character" w:styleId="IntenseReference">
    <w:name w:val="Intense Reference"/>
    <w:basedOn w:val="DefaultParagraphFont"/>
    <w:uiPriority w:val="32"/>
    <w:qFormat/>
    <w:rsid w:val="00DB2C5C"/>
    <w:rPr>
      <w:b/>
      <w:bCs/>
      <w:smallCaps/>
      <w:color w:val="auto"/>
      <w:spacing w:val="5"/>
      <w:u w:val="single"/>
    </w:rPr>
  </w:style>
  <w:style w:type="paragraph" w:customStyle="1" w:styleId="2ColumnHeading">
    <w:name w:val="2Column Heading"/>
    <w:basedOn w:val="BodyText"/>
    <w:qFormat/>
    <w:rsid w:val="00DB2C5C"/>
    <w:pPr>
      <w:spacing w:after="60"/>
      <w:ind w:left="-2268"/>
    </w:pPr>
    <w:rPr>
      <w:b/>
    </w:rPr>
  </w:style>
  <w:style w:type="paragraph" w:customStyle="1" w:styleId="Heading1TOC">
    <w:name w:val="Heading1 TOC"/>
    <w:basedOn w:val="Normal"/>
    <w:qFormat/>
    <w:rsid w:val="00DB2C5C"/>
    <w:pPr>
      <w:spacing w:before="240" w:after="120"/>
    </w:pPr>
    <w:rPr>
      <w:rFonts w:ascii="Times New Roman" w:hAnsi="Times New Roman"/>
      <w:b/>
      <w:sz w:val="32"/>
    </w:rPr>
  </w:style>
  <w:style w:type="paragraph" w:customStyle="1" w:styleId="Heading2TOC">
    <w:name w:val="Heading2 TOC"/>
    <w:basedOn w:val="Normal"/>
    <w:qFormat/>
    <w:rsid w:val="00DB2C5C"/>
    <w:pPr>
      <w:spacing w:before="240" w:after="60"/>
    </w:pPr>
    <w:rPr>
      <w:rFonts w:ascii="Times New Roman" w:hAnsi="Times New Roman"/>
      <w:b/>
      <w:sz w:val="28"/>
    </w:rPr>
  </w:style>
  <w:style w:type="character" w:customStyle="1" w:styleId="Underline">
    <w:name w:val="Underline"/>
    <w:basedOn w:val="DefaultParagraphFont"/>
    <w:qFormat/>
    <w:rsid w:val="00DB2C5C"/>
    <w:rPr>
      <w:u w:val="single"/>
    </w:rPr>
  </w:style>
  <w:style w:type="character" w:customStyle="1" w:styleId="BoldandItalics">
    <w:name w:val="Bold and Italics"/>
    <w:qFormat/>
    <w:rsid w:val="00DB2C5C"/>
    <w:rPr>
      <w:b/>
      <w:i/>
      <w:u w:val="none"/>
    </w:rPr>
  </w:style>
  <w:style w:type="paragraph" w:styleId="BalloonText">
    <w:name w:val="Balloon Text"/>
    <w:basedOn w:val="Normal"/>
    <w:link w:val="BalloonTextChar"/>
    <w:rsid w:val="00DB2C5C"/>
    <w:rPr>
      <w:rFonts w:ascii="Tahoma" w:hAnsi="Tahoma" w:cs="Tahoma"/>
      <w:sz w:val="16"/>
      <w:szCs w:val="16"/>
    </w:rPr>
  </w:style>
  <w:style w:type="character" w:customStyle="1" w:styleId="BalloonTextChar">
    <w:name w:val="Balloon Text Char"/>
    <w:basedOn w:val="DefaultParagraphFont"/>
    <w:link w:val="BalloonText"/>
    <w:rsid w:val="00DB2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C5C"/>
    <w:rPr>
      <w:b/>
      <w:color w:val="660033"/>
      <w:spacing w:val="0"/>
    </w:rPr>
  </w:style>
  <w:style w:type="paragraph" w:customStyle="1" w:styleId="Nameditemlist">
    <w:name w:val="Named item list"/>
    <w:basedOn w:val="BodyText"/>
    <w:qFormat/>
    <w:rsid w:val="00DB2C5C"/>
    <w:pPr>
      <w:tabs>
        <w:tab w:val="left" w:pos="2835"/>
      </w:tabs>
      <w:ind w:left="2835" w:hanging="2835"/>
    </w:pPr>
  </w:style>
  <w:style w:type="paragraph" w:customStyle="1" w:styleId="BodyTextnopadding">
    <w:name w:val="Body Text no padding"/>
    <w:basedOn w:val="BodyText"/>
    <w:qFormat/>
    <w:rsid w:val="00DB2C5C"/>
    <w:pPr>
      <w:spacing w:before="0" w:after="0"/>
    </w:pPr>
  </w:style>
  <w:style w:type="paragraph" w:customStyle="1" w:styleId="BodyTextBold">
    <w:name w:val="Body Text Bold"/>
    <w:basedOn w:val="BodyText"/>
    <w:qFormat/>
    <w:rsid w:val="00DB2C5C"/>
    <w:rPr>
      <w:b/>
    </w:rPr>
  </w:style>
  <w:style w:type="character" w:styleId="Hyperlink">
    <w:name w:val="Hyperlink"/>
    <w:basedOn w:val="DefaultParagraphFont"/>
    <w:uiPriority w:val="99"/>
    <w:unhideWhenUsed/>
    <w:rsid w:val="00705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4880</Characters>
  <Application>Microsoft Office Word</Application>
  <DocSecurity>0</DocSecurity>
  <Lines>244</Lines>
  <Paragraphs>148</Paragraphs>
  <ScaleCrop>false</ScaleCrop>
  <Company>Author-it Software Corporation Ltd.</Company>
  <LinksUpToDate>false</LinksUpToDate>
  <CharactersWithSpaces>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MEM20007 Plan and prepare a masterkey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2021-03-31T03:14:00Z</dcterms:created>
  <dcterms:modified xsi:type="dcterms:W3CDTF">2021-03-31T03:14:00Z</dcterms:modified>
</cp:coreProperties>
</file>