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0B9C" w:rsidP="00360B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MEM20004 Gain entry</w:t>
      </w:r>
      <w:r>
        <w:fldChar w:fldCharType="end"/>
      </w:r>
    </w:p>
    <w:p w:rsidR="00360B9C" w:rsidP="00360B9C">
      <w:pPr>
        <w:pStyle w:val="Version"/>
        <w:sectPr w:rsidSect="007A55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55B9" w:rsidP="007A55B9">
      <w:pPr>
        <w:pStyle w:val="SuperHeading"/>
      </w:pPr>
      <w:r w:rsidRPr="007A55B9">
        <w:t>MEM20004 Gain entry</w:t>
      </w:r>
    </w:p>
    <w:p w:rsidR="00000000" w:rsidRPr="007A55B9" w:rsidP="007A55B9">
      <w:pPr>
        <w:pStyle w:val="Heading1"/>
      </w:pPr>
      <w:bookmarkStart w:id="1" w:name="O_950913"/>
      <w:bookmarkEnd w:id="1"/>
      <w:r w:rsidRPr="007A55B9">
        <w:t>Modification History</w:t>
      </w:r>
    </w:p>
    <w:p w:rsidR="00000000" w:rsidRPr="007A55B9" w:rsidP="00360B9C">
      <w:pPr>
        <w:pStyle w:val="BodyText"/>
      </w:pPr>
      <w:r w:rsidRPr="007A55B9">
        <w:t xml:space="preserve">Release 1. Supersedes and is equivalent to MEM20004A Gain entry </w:t>
      </w:r>
    </w:p>
    <w:p w:rsidR="00000000" w:rsidRPr="007A55B9" w:rsidP="007A55B9">
      <w:pPr>
        <w:pStyle w:val="Heading1"/>
      </w:pPr>
      <w:bookmarkStart w:id="2" w:name="O_950921"/>
      <w:bookmarkEnd w:id="2"/>
      <w:r w:rsidRPr="007A55B9">
        <w:t>Application</w:t>
      </w:r>
    </w:p>
    <w:p w:rsidR="00000000" w:rsidRPr="007A55B9" w:rsidP="00360B9C">
      <w:pPr>
        <w:pStyle w:val="BodyText"/>
      </w:pPr>
      <w:r w:rsidRPr="007A55B9">
        <w:t>This unit of competency defines the skills and knowledge required to gain entry and the straightforward return-to-service of general types of commercial and domes</w:t>
      </w:r>
      <w:r w:rsidRPr="007A55B9">
        <w:t>tic mechanical locks. The basis for entry includes lockout (keys inside), lost keys (rekeys) and malfunction of locks in doors and windows.</w:t>
      </w:r>
    </w:p>
    <w:p w:rsidR="00000000" w:rsidRPr="007A55B9" w:rsidP="00360B9C">
      <w:pPr>
        <w:pStyle w:val="BodyText"/>
      </w:pPr>
      <w:r w:rsidRPr="007A55B9">
        <w:t>Where specialised skills are required to gain entry and to reinstate both mechanical and electronic locking systems</w:t>
      </w:r>
      <w:r w:rsidRPr="007A55B9">
        <w:t xml:space="preserve"> in automotive or fire and security containers, appropriate units should also be selected.</w:t>
      </w:r>
    </w:p>
    <w:p w:rsidR="00000000" w:rsidRPr="007A55B9" w:rsidP="00360B9C">
      <w:pPr>
        <w:pStyle w:val="BodyText"/>
      </w:pPr>
      <w:r w:rsidRPr="007A55B9">
        <w:t xml:space="preserve">No licensing, legislative or certification requirements apply to this unit at the time of publication. </w:t>
      </w:r>
    </w:p>
    <w:p w:rsidR="00000000" w:rsidRPr="007A55B9" w:rsidP="007A55B9">
      <w:pPr>
        <w:pStyle w:val="BodyText"/>
      </w:pPr>
      <w:r w:rsidRPr="007A55B9">
        <w:rPr>
          <w:rStyle w:val="SpecialBold"/>
        </w:rPr>
        <w:t>Band</w:t>
      </w:r>
      <w:r w:rsidRPr="007A55B9">
        <w:t>:</w:t>
      </w:r>
      <w:r w:rsidRPr="007A55B9">
        <w:tab/>
      </w:r>
      <w:r w:rsidRPr="007A55B9">
        <w:rPr>
          <w:rStyle w:val="SpecialBold"/>
        </w:rPr>
        <w:t>A</w:t>
      </w:r>
    </w:p>
    <w:p w:rsidR="00000000" w:rsidRPr="007A55B9" w:rsidP="007A55B9">
      <w:pPr>
        <w:pStyle w:val="BodyText"/>
      </w:pPr>
      <w:r w:rsidRPr="007A55B9">
        <w:rPr>
          <w:rStyle w:val="SpecialBold"/>
        </w:rPr>
        <w:t>Unit Weight</w:t>
      </w:r>
      <w:r w:rsidRPr="007A55B9">
        <w:t>:</w:t>
      </w:r>
      <w:r w:rsidRPr="007A55B9">
        <w:tab/>
      </w:r>
      <w:r w:rsidRPr="007A55B9">
        <w:rPr>
          <w:rStyle w:val="SpecialBold"/>
        </w:rPr>
        <w:t>4</w:t>
      </w:r>
    </w:p>
    <w:p w:rsidR="00000000" w:rsidRPr="007A55B9" w:rsidP="007A55B9">
      <w:pPr>
        <w:pStyle w:val="AllowPageBreak"/>
      </w:pPr>
    </w:p>
    <w:p w:rsidR="00000000" w:rsidRPr="007A55B9" w:rsidP="007A55B9">
      <w:pPr>
        <w:pStyle w:val="Heading1"/>
      </w:pPr>
      <w:bookmarkStart w:id="3" w:name="O_950920"/>
      <w:bookmarkEnd w:id="3"/>
      <w:r w:rsidRPr="007A55B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Undertake manual handling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Work safely and effectively in manufacturing and engineering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Organise and communicate information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Use hand tools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Use power tools/hand held operations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MEM20001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Produce keys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MEM20002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Assemble and test lock mechanisms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MEM20003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B9" w:rsidP="007A55B9">
            <w:pPr>
              <w:pStyle w:val="BodyText"/>
            </w:pPr>
            <w:r w:rsidRPr="007A55B9">
              <w:t>Install and upgrade locks and hardware</w:t>
            </w:r>
          </w:p>
        </w:tc>
      </w:tr>
    </w:tbl>
    <w:p w:rsidR="00000000" w:rsidRPr="007A55B9" w:rsidP="007A55B9">
      <w:pPr>
        <w:pStyle w:val="BodyText"/>
      </w:pPr>
    </w:p>
    <w:p w:rsidR="00000000" w:rsidRPr="007A55B9" w:rsidP="007A55B9">
      <w:pPr>
        <w:pStyle w:val="AllowPageBreak"/>
      </w:pPr>
    </w:p>
    <w:p w:rsidR="00000000" w:rsidRPr="007A55B9" w:rsidP="007A55B9">
      <w:pPr>
        <w:pStyle w:val="Heading1"/>
      </w:pPr>
      <w:bookmarkStart w:id="4" w:name="O_950919"/>
      <w:bookmarkEnd w:id="4"/>
      <w:r w:rsidRPr="007A55B9">
        <w:t>Competency Field</w:t>
      </w:r>
    </w:p>
    <w:p w:rsidR="00000000" w:rsidRPr="007A55B9" w:rsidP="00360B9C">
      <w:pPr>
        <w:pStyle w:val="BodyText"/>
      </w:pPr>
      <w:r w:rsidRPr="007A55B9">
        <w:t>Locksmithing</w:t>
      </w:r>
    </w:p>
    <w:p w:rsidR="00000000" w:rsidRPr="007A55B9" w:rsidP="007A55B9">
      <w:pPr>
        <w:pStyle w:val="Heading1"/>
      </w:pPr>
      <w:bookmarkStart w:id="5" w:name="O_950917"/>
      <w:bookmarkEnd w:id="5"/>
      <w:r w:rsidRPr="007A55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Performance criteria describe the performance needed to demonstrate achievement of the element.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B9" w:rsidP="007A55B9">
            <w:pPr>
              <w:pStyle w:val="BodyText"/>
            </w:pPr>
            <w:r w:rsidRPr="007A55B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rPr>
                <w:rStyle w:val="SpecialBold"/>
              </w:rPr>
              <w:t>Establish entry requirements, authorisation and ownership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Follow standard operating procedures (SOPs)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Comply with work health and safety (WHS) requirements at all times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Select and use appropriate personal protective equipment (PPE) in accordance with SOPs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Establish reason for entry, nature and urgency of problem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Verify evidence relatin</w:t>
            </w:r>
            <w:r w:rsidRPr="007A55B9">
              <w:t>g to ownership and/or legal possession and authenticity of request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Provide company and individual identifications to the customer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Identify construction and mechanism information, including lock type, manufacturer, model, date, restrictions and limitations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1.8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Confirm entry requirements and process with customer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B9" w:rsidP="007A55B9">
            <w:pPr>
              <w:pStyle w:val="BodyText"/>
            </w:pPr>
            <w:r w:rsidRPr="007A55B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rPr>
                <w:rStyle w:val="SpecialBold"/>
              </w:rPr>
              <w:t>Gain entry to mechanical locking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Select appropriate tools, equipment and entry methods for the given mechanism, problem, conditions, customer and organisational requirements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Establish a safe and secure working environment according to industry, organisational and legislative requir</w:t>
            </w:r>
            <w:r w:rsidRPr="007A55B9">
              <w:t>ements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Use selected tools to gain entry with minimal damage using appropriate industry practices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Identify limitations and problems and seek advice or assistance as appropriate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Replace locks and components, as necessary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Manufacture keys, as required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B9" w:rsidP="007A55B9">
            <w:pPr>
              <w:pStyle w:val="BodyText"/>
            </w:pPr>
            <w:r w:rsidRPr="007A55B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rPr>
                <w:rStyle w:val="SpecialBold"/>
              </w:rPr>
              <w:t>Finalise and document entry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Check functioning of locking system and adjust as necessary for correct operation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Identify operational problems for further service or repair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Fit temporary or replacement lock, if necessary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Give customer job details and recommendations for any further action according to SOPs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Instruct customer on use of new components, if necessary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B9" w:rsidP="007A55B9">
            <w:pPr>
              <w:pStyle w:val="BodyText"/>
            </w:pPr>
            <w:r w:rsidRPr="007A55B9">
              <w:t xml:space="preserve">Ensure completed documentation is accurate </w:t>
            </w:r>
            <w:r w:rsidRPr="007A55B9">
              <w:t>and process in accordance with legislative, industry and organisational requirements</w:t>
            </w:r>
          </w:p>
        </w:tc>
      </w:tr>
    </w:tbl>
    <w:p w:rsidR="00000000" w:rsidRPr="007A55B9" w:rsidP="007A55B9">
      <w:pPr>
        <w:pStyle w:val="BodyText"/>
      </w:pPr>
    </w:p>
    <w:p w:rsidR="00000000" w:rsidRPr="007A55B9" w:rsidP="007A55B9">
      <w:pPr>
        <w:pStyle w:val="AllowPageBreak"/>
      </w:pPr>
    </w:p>
    <w:p w:rsidR="00000000" w:rsidRPr="007A55B9" w:rsidP="007A55B9">
      <w:pPr>
        <w:pStyle w:val="Heading1"/>
      </w:pPr>
      <w:bookmarkStart w:id="6" w:name="O_950916"/>
      <w:bookmarkEnd w:id="6"/>
      <w:r w:rsidRPr="007A55B9">
        <w:t>Foundation Skills</w:t>
      </w:r>
    </w:p>
    <w:p w:rsidR="00000000" w:rsidRPr="007A55B9" w:rsidP="00360B9C">
      <w:pPr>
        <w:pStyle w:val="BodyText"/>
      </w:pPr>
      <w:r w:rsidRPr="007A55B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A55B9" w:rsidP="00360B9C">
      <w:pPr>
        <w:pStyle w:val="BodyText"/>
      </w:pPr>
      <w:r w:rsidRPr="007A55B9">
        <w:t xml:space="preserve">Foundation skills essential to performance are explicit in the performance criteria </w:t>
      </w:r>
      <w:r w:rsidRPr="007A55B9">
        <w:t>of this unit of competency.</w:t>
      </w:r>
    </w:p>
    <w:p w:rsidR="00000000" w:rsidRPr="007A55B9" w:rsidP="007A55B9">
      <w:pPr>
        <w:pStyle w:val="Heading1"/>
      </w:pPr>
      <w:bookmarkStart w:id="7" w:name="O_950915"/>
      <w:bookmarkEnd w:id="7"/>
      <w:r w:rsidRPr="007A55B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880"/>
        <w:gridCol w:w="5300"/>
      </w:tblGrid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t>This field allows for different work environments and conditions that may affect performance. Essential operating conditions that may be present (depending on the work situation, needs of the</w:t>
            </w:r>
            <w:r w:rsidRPr="007A55B9">
              <w:t xml:space="preserve"> candidate, accessibility of the item, and local industry and regional contexts) are included.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rPr>
                <w:rStyle w:val="SpecialBold"/>
              </w:rPr>
              <w:t>Evidence for legal possession includes one (1) or more of the following: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B9" w:rsidP="007A55B9">
            <w:pPr>
              <w:pStyle w:val="ListBullet"/>
            </w:pPr>
            <w:r w:rsidRPr="007A55B9">
              <w:t>photo identification</w:t>
            </w:r>
          </w:p>
          <w:p w:rsidR="00000000" w:rsidRPr="007A55B9" w:rsidP="007A55B9">
            <w:pPr>
              <w:pStyle w:val="ListBullet"/>
            </w:pPr>
            <w:r w:rsidRPr="007A55B9">
              <w:t>letters of authority</w:t>
            </w:r>
          </w:p>
          <w:p w:rsidR="00000000" w:rsidP="007A55B9">
            <w:pPr>
              <w:pStyle w:val="ListBullet"/>
              <w:rPr>
                <w:lang w:val="en-NZ"/>
              </w:rPr>
            </w:pPr>
            <w:r w:rsidRPr="007A55B9">
              <w:t>proof of ownership papers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47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rPr>
                <w:rStyle w:val="SpecialBold"/>
              </w:rPr>
              <w:t>Lock types include one (1) or more of the following: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B9" w:rsidP="007A55B9">
            <w:pPr>
              <w:pStyle w:val="ListBullet"/>
            </w:pPr>
            <w:r w:rsidRPr="007A55B9">
              <w:t>pin tumbler (4.5.6.7 pin)</w:t>
            </w:r>
          </w:p>
          <w:p w:rsidR="00000000" w:rsidRPr="007A55B9" w:rsidP="007A55B9">
            <w:pPr>
              <w:pStyle w:val="ListBullet"/>
            </w:pPr>
            <w:r w:rsidRPr="007A55B9">
              <w:t>wafer tumbler – e.g. L + F</w:t>
            </w:r>
          </w:p>
          <w:p w:rsidR="00000000" w:rsidRPr="007A55B9" w:rsidP="007A55B9">
            <w:pPr>
              <w:pStyle w:val="ListBullet"/>
            </w:pPr>
            <w:r w:rsidRPr="007A55B9">
              <w:t>warded lock</w:t>
            </w:r>
          </w:p>
          <w:p w:rsidR="00000000" w:rsidRPr="007A55B9" w:rsidP="007A55B9">
            <w:pPr>
              <w:pStyle w:val="ListBullet"/>
            </w:pPr>
            <w:r w:rsidRPr="007A55B9">
              <w:t>lever tumbler</w:t>
            </w:r>
          </w:p>
          <w:p w:rsidR="00000000" w:rsidRPr="007A55B9" w:rsidP="007A55B9">
            <w:pPr>
              <w:pStyle w:val="ListBullet"/>
            </w:pPr>
            <w:r w:rsidRPr="007A55B9">
              <w:t>mechanical digital, exposed wheel combination</w:t>
            </w:r>
          </w:p>
          <w:p w:rsidR="00000000" w:rsidRPr="007A55B9" w:rsidP="007A55B9">
            <w:pPr>
              <w:pStyle w:val="ListBullet"/>
            </w:pPr>
            <w:r w:rsidRPr="007A55B9">
              <w:t xml:space="preserve">axial pin tumbler </w:t>
            </w:r>
          </w:p>
          <w:p w:rsidR="00000000" w:rsidRPr="007A55B9" w:rsidP="007A55B9">
            <w:pPr>
              <w:pStyle w:val="ListBullet"/>
            </w:pPr>
            <w:r w:rsidRPr="007A55B9">
              <w:t xml:space="preserve">radial pin tumbler </w:t>
            </w:r>
          </w:p>
          <w:p w:rsidR="00000000" w:rsidRPr="007A55B9" w:rsidP="007A55B9">
            <w:pPr>
              <w:pStyle w:val="ListBullet"/>
            </w:pPr>
            <w:r w:rsidRPr="007A55B9">
              <w:t xml:space="preserve">rotating pin tumbler </w:t>
            </w:r>
          </w:p>
          <w:p w:rsidR="00000000" w:rsidP="007A55B9">
            <w:pPr>
              <w:pStyle w:val="ListBullet"/>
              <w:rPr>
                <w:lang w:val="en-NZ"/>
              </w:rPr>
            </w:pPr>
            <w:r w:rsidRPr="007A55B9">
              <w:t xml:space="preserve">disc tumbler 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9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B9" w:rsidP="007A55B9">
            <w:pPr>
              <w:pStyle w:val="BodyText"/>
            </w:pPr>
            <w:r w:rsidRPr="007A55B9">
              <w:rPr>
                <w:rStyle w:val="SpecialBold"/>
              </w:rPr>
              <w:t>Tools and equipment include one (1) or more of the following:</w:t>
            </w:r>
          </w:p>
          <w:p w:rsidR="00000000" w:rsidP="007A55B9">
            <w:pPr>
              <w:pStyle w:val="BodyText"/>
              <w:rPr>
                <w:lang w:val="en-NZ"/>
              </w:rPr>
            </w:pP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B9" w:rsidP="007A55B9">
            <w:pPr>
              <w:pStyle w:val="ListBullet"/>
            </w:pPr>
            <w:r w:rsidRPr="007A55B9">
              <w:t>specialised files and impression tools</w:t>
            </w:r>
          </w:p>
          <w:p w:rsidR="00000000" w:rsidRPr="007A55B9" w:rsidP="007A55B9">
            <w:pPr>
              <w:pStyle w:val="ListBullet"/>
            </w:pPr>
            <w:r w:rsidRPr="007A55B9">
              <w:t>pick gun</w:t>
            </w:r>
          </w:p>
          <w:p w:rsidR="00000000" w:rsidRPr="007A55B9" w:rsidP="007A55B9">
            <w:pPr>
              <w:pStyle w:val="ListBullet"/>
            </w:pPr>
            <w:r w:rsidRPr="007A55B9">
              <w:t>hand tools relating to gaining access</w:t>
            </w:r>
          </w:p>
          <w:p w:rsidR="00000000" w:rsidRPr="007A55B9" w:rsidP="007A55B9">
            <w:pPr>
              <w:pStyle w:val="ListBullet"/>
            </w:pPr>
            <w:r w:rsidRPr="007A55B9">
              <w:t>picks, including:</w:t>
            </w:r>
          </w:p>
          <w:p w:rsidR="00000000" w:rsidRPr="007A55B9" w:rsidP="007A55B9">
            <w:pPr>
              <w:pStyle w:val="ListBullet2"/>
            </w:pPr>
            <w:r w:rsidRPr="007A55B9">
              <w:t xml:space="preserve">curved, rake and hooks </w:t>
            </w:r>
          </w:p>
          <w:p w:rsidR="00000000" w:rsidRPr="007A55B9" w:rsidP="007A55B9">
            <w:pPr>
              <w:pStyle w:val="ListBullet2"/>
            </w:pPr>
            <w:r w:rsidRPr="007A55B9">
              <w:t>tension wrenches (turning)</w:t>
            </w:r>
          </w:p>
          <w:p w:rsidR="00000000" w:rsidRPr="007A55B9" w:rsidP="007A55B9">
            <w:pPr>
              <w:pStyle w:val="ListBullet2"/>
            </w:pPr>
            <w:r w:rsidRPr="007A55B9">
              <w:t>lever lock picks</w:t>
            </w:r>
          </w:p>
          <w:p w:rsidR="00000000" w:rsidRPr="007A55B9" w:rsidP="007A55B9">
            <w:pPr>
              <w:pStyle w:val="ListBullet2"/>
            </w:pPr>
            <w:r w:rsidRPr="007A55B9">
              <w:t>tubular lock picks</w:t>
            </w:r>
          </w:p>
          <w:p w:rsidR="00000000" w:rsidRPr="007A55B9" w:rsidP="007A55B9">
            <w:pPr>
              <w:pStyle w:val="ListBullet"/>
            </w:pPr>
            <w:r w:rsidRPr="007A55B9">
              <w:t>custom tools</w:t>
            </w:r>
          </w:p>
          <w:p w:rsidR="00000000" w:rsidP="007A55B9">
            <w:pPr>
              <w:pStyle w:val="ListBullet"/>
              <w:rPr>
                <w:lang w:val="en-NZ"/>
              </w:rPr>
            </w:pPr>
            <w:r w:rsidRPr="007A55B9">
              <w:t>scope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2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rPr>
                <w:rStyle w:val="SpecialBold"/>
              </w:rPr>
              <w:t>Entry methods include one (1) or more of the following: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B9" w:rsidP="007A55B9">
            <w:pPr>
              <w:pStyle w:val="ListBullet"/>
            </w:pPr>
            <w:r w:rsidRPr="007A55B9">
              <w:t>pick</w:t>
            </w:r>
          </w:p>
          <w:p w:rsidR="00000000" w:rsidRPr="007A55B9" w:rsidP="007A55B9">
            <w:pPr>
              <w:pStyle w:val="ListBullet"/>
            </w:pPr>
            <w:r w:rsidRPr="007A55B9">
              <w:t>impressioning</w:t>
            </w:r>
          </w:p>
          <w:p w:rsidR="00000000" w:rsidRPr="007A55B9" w:rsidP="007A55B9">
            <w:pPr>
              <w:pStyle w:val="ListBullet"/>
            </w:pPr>
            <w:r w:rsidRPr="007A55B9">
              <w:t>reading</w:t>
            </w:r>
          </w:p>
          <w:p w:rsidR="00000000" w:rsidRPr="007A55B9" w:rsidP="007A55B9">
            <w:pPr>
              <w:pStyle w:val="ListBullet"/>
            </w:pPr>
            <w:r w:rsidRPr="007A55B9">
              <w:t>bypass</w:t>
            </w:r>
          </w:p>
          <w:p w:rsidR="00000000" w:rsidRPr="007A55B9" w:rsidP="007A55B9">
            <w:pPr>
              <w:pStyle w:val="ListBullet"/>
            </w:pPr>
            <w:r w:rsidRPr="007A55B9">
              <w:t>manipulation</w:t>
            </w:r>
          </w:p>
          <w:p w:rsidR="00000000" w:rsidP="007A55B9">
            <w:pPr>
              <w:pStyle w:val="ListBullet"/>
              <w:rPr>
                <w:lang w:val="en-NZ"/>
              </w:rPr>
            </w:pPr>
            <w:r w:rsidRPr="007A55B9">
              <w:t>drilling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9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rPr>
                <w:rStyle w:val="SpecialBold"/>
              </w:rPr>
              <w:t>Keys include one (1) or more of the following: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B9" w:rsidP="007A55B9">
            <w:pPr>
              <w:pStyle w:val="ListBullet"/>
            </w:pPr>
            <w:r w:rsidRPr="007A55B9">
              <w:t>blank recognition</w:t>
            </w:r>
          </w:p>
          <w:p w:rsidR="00000000" w:rsidRPr="007A55B9" w:rsidP="007A55B9">
            <w:pPr>
              <w:pStyle w:val="ListBullet"/>
            </w:pPr>
            <w:r w:rsidRPr="007A55B9">
              <w:t>keys to code</w:t>
            </w:r>
          </w:p>
          <w:p w:rsidR="00000000" w:rsidRPr="007A55B9" w:rsidP="007A55B9">
            <w:pPr>
              <w:pStyle w:val="ListBullet"/>
            </w:pPr>
            <w:r w:rsidRPr="007A55B9">
              <w:t>keys to sample</w:t>
            </w:r>
          </w:p>
          <w:p w:rsidR="00000000" w:rsidRPr="007A55B9" w:rsidP="007A55B9">
            <w:pPr>
              <w:pStyle w:val="ListBullet"/>
            </w:pPr>
            <w:r w:rsidRPr="007A55B9">
              <w:t>use of key machines</w:t>
            </w:r>
          </w:p>
          <w:p w:rsidR="00000000" w:rsidRPr="007A55B9" w:rsidP="007A55B9">
            <w:pPr>
              <w:pStyle w:val="ListBullet"/>
            </w:pPr>
            <w:r w:rsidRPr="007A55B9">
              <w:t>use of computer code programs</w:t>
            </w:r>
          </w:p>
          <w:p w:rsidR="00000000" w:rsidP="007A55B9">
            <w:pPr>
              <w:pStyle w:val="ListBullet"/>
              <w:rPr>
                <w:lang w:val="en-NZ"/>
              </w:rPr>
            </w:pPr>
            <w:r w:rsidRPr="007A55B9">
              <w:t>use of book codes</w:t>
            </w:r>
          </w:p>
        </w:tc>
      </w:tr>
      <w:tr w:rsidTr="007A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9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B9">
            <w:pPr>
              <w:pStyle w:val="BodyText"/>
              <w:rPr>
                <w:lang w:val="en-NZ"/>
              </w:rPr>
            </w:pPr>
            <w:r w:rsidRPr="007A55B9">
              <w:rPr>
                <w:rStyle w:val="SpecialBold"/>
              </w:rPr>
              <w:t>Documentation includes one (1) or more of the following: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B9" w:rsidP="007A55B9">
            <w:pPr>
              <w:pStyle w:val="ListBullet"/>
            </w:pPr>
            <w:r w:rsidRPr="007A55B9">
              <w:t>disclaimer documents</w:t>
            </w:r>
          </w:p>
          <w:p w:rsidR="00000000" w:rsidRPr="007A55B9" w:rsidP="007A55B9">
            <w:pPr>
              <w:pStyle w:val="ListBullet"/>
            </w:pPr>
            <w:r w:rsidRPr="007A55B9">
              <w:t>receipt/invoice</w:t>
            </w:r>
          </w:p>
          <w:p w:rsidR="00000000" w:rsidRPr="007A55B9" w:rsidP="007A55B9">
            <w:pPr>
              <w:pStyle w:val="ListBullet"/>
            </w:pPr>
            <w:r w:rsidRPr="007A55B9">
              <w:t>job sheets</w:t>
            </w:r>
          </w:p>
        </w:tc>
      </w:tr>
    </w:tbl>
    <w:p w:rsidR="00000000" w:rsidRPr="007A55B9" w:rsidP="007A55B9">
      <w:pPr>
        <w:pStyle w:val="BodyText"/>
      </w:pPr>
    </w:p>
    <w:p w:rsidR="00000000" w:rsidRPr="007A55B9" w:rsidP="007A55B9">
      <w:pPr>
        <w:pStyle w:val="AllowPageBreak"/>
      </w:pPr>
    </w:p>
    <w:p w:rsidR="00000000" w:rsidRPr="007A55B9" w:rsidP="007A55B9">
      <w:pPr>
        <w:pStyle w:val="Heading1"/>
      </w:pPr>
      <w:bookmarkStart w:id="8" w:name="O_950914"/>
      <w:bookmarkEnd w:id="8"/>
      <w:r w:rsidRPr="007A55B9">
        <w:t>Unit Mapping Information</w:t>
      </w:r>
    </w:p>
    <w:p w:rsidR="00000000" w:rsidRPr="007A55B9" w:rsidP="00360B9C">
      <w:pPr>
        <w:pStyle w:val="BodyText"/>
      </w:pPr>
      <w:r w:rsidRPr="007A55B9">
        <w:t xml:space="preserve">Release 1. Supersedes and is equivalent to MEM20004A Gain entry </w:t>
      </w:r>
    </w:p>
    <w:p w:rsidR="00000000" w:rsidRPr="007A55B9" w:rsidP="007A55B9">
      <w:pPr>
        <w:pStyle w:val="Heading1"/>
      </w:pPr>
      <w:bookmarkStart w:id="9" w:name="O_950907"/>
      <w:bookmarkEnd w:id="9"/>
      <w:r w:rsidRPr="007A55B9">
        <w:t>Links</w:t>
      </w:r>
    </w:p>
    <w:p w:rsidR="00000000" w:rsidRPr="007A55B9" w:rsidP="00360B9C">
      <w:pPr>
        <w:pStyle w:val="BodyText"/>
      </w:pPr>
      <w:r w:rsidRPr="007A55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A377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A55B9" w:rsidP="007A55B9"/>
    <w:sectPr w:rsidSect="007A55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B9" w:rsidRPr="00360B9C" w:rsidP="00360B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B9C" w:rsidP="007A55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0B9C" w:rsidP="007A55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60B9C" w:rsidP="007A55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B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5B9" w:rsidRPr="00360B9C" w:rsidP="00360B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B9C" w:rsidRPr="002D2AF8" w:rsidP="007A55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MEM20004 Gain entry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360B9C" w:rsidP="007A55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200A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044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76A7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5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5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5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5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5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5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5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5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5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5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5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5B9"/>
  </w:style>
  <w:style w:type="character" w:customStyle="1" w:styleId="Heading1Char">
    <w:name w:val="Heading 1 Char"/>
    <w:basedOn w:val="DefaultParagraphFont"/>
    <w:link w:val="Heading1"/>
    <w:rsid w:val="007A55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5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5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55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55B9"/>
    <w:rPr>
      <w:b/>
      <w:spacing w:val="0"/>
    </w:rPr>
  </w:style>
  <w:style w:type="paragraph" w:styleId="ListBullet2">
    <w:name w:val="List Bullet 2"/>
    <w:basedOn w:val="List2"/>
    <w:rsid w:val="007A55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55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5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55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5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5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5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5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5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5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5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5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5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5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5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5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5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55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55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55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5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5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55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5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5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5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5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5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5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5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5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55B9"/>
    <w:rPr>
      <w:i/>
    </w:rPr>
  </w:style>
  <w:style w:type="paragraph" w:styleId="Caption">
    <w:name w:val="caption"/>
    <w:basedOn w:val="BodyText"/>
    <w:next w:val="Normal"/>
    <w:qFormat/>
    <w:rsid w:val="007A55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5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5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5B9"/>
  </w:style>
  <w:style w:type="paragraph" w:styleId="TableofFigures">
    <w:name w:val="table of figures"/>
    <w:basedOn w:val="Normal"/>
    <w:next w:val="Normal"/>
    <w:semiHidden/>
    <w:rsid w:val="007A55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5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55B9"/>
    <w:rPr>
      <w:rFonts w:ascii="Wingdings" w:hAnsi="Wingdings"/>
    </w:rPr>
  </w:style>
  <w:style w:type="paragraph" w:customStyle="1" w:styleId="TableHeading">
    <w:name w:val="Table Heading"/>
    <w:basedOn w:val="HeadingBase"/>
    <w:rsid w:val="007A55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5B9"/>
    <w:rPr>
      <w:color w:val="0033CC"/>
      <w:u w:val="none"/>
    </w:rPr>
  </w:style>
  <w:style w:type="paragraph" w:customStyle="1" w:styleId="BodyTextRight">
    <w:name w:val="Body Text Right"/>
    <w:basedOn w:val="BodyText"/>
    <w:rsid w:val="007A55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5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5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5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5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5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5B9"/>
    <w:rPr>
      <w:sz w:val="32"/>
    </w:rPr>
  </w:style>
  <w:style w:type="paragraph" w:customStyle="1" w:styleId="HeadingProcedure">
    <w:name w:val="Heading Procedure"/>
    <w:basedOn w:val="HeadingBase"/>
    <w:next w:val="Normal"/>
    <w:rsid w:val="007A55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5B9"/>
    <w:pPr>
      <w:spacing w:before="60" w:after="60"/>
    </w:pPr>
  </w:style>
  <w:style w:type="paragraph" w:styleId="ListContinue">
    <w:name w:val="List Continue"/>
    <w:basedOn w:val="List"/>
    <w:rsid w:val="007A55B9"/>
    <w:pPr>
      <w:ind w:firstLine="0"/>
    </w:pPr>
  </w:style>
  <w:style w:type="paragraph" w:customStyle="1" w:styleId="ListNote">
    <w:name w:val="List Note"/>
    <w:basedOn w:val="List"/>
    <w:rsid w:val="007A55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5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5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5B9"/>
    <w:rPr>
      <w:rFonts w:ascii="Courier New" w:hAnsi="Courier New"/>
    </w:rPr>
  </w:style>
  <w:style w:type="paragraph" w:customStyle="1" w:styleId="NoteBullet">
    <w:name w:val="Note Bullet"/>
    <w:basedOn w:val="Note"/>
    <w:rsid w:val="007A55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5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5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5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5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55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5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5B9"/>
    <w:rPr>
      <w:b/>
      <w:smallCaps/>
    </w:rPr>
  </w:style>
  <w:style w:type="paragraph" w:customStyle="1" w:styleId="TableListNumber">
    <w:name w:val="Table List Number"/>
    <w:basedOn w:val="ListNumber"/>
    <w:rsid w:val="007A55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5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5B9"/>
    <w:pPr>
      <w:numPr>
        <w:numId w:val="9"/>
      </w:numPr>
    </w:pPr>
  </w:style>
  <w:style w:type="paragraph" w:customStyle="1" w:styleId="ListAlpha2">
    <w:name w:val="List Alpha 2"/>
    <w:basedOn w:val="List2"/>
    <w:rsid w:val="007A55B9"/>
    <w:pPr>
      <w:numPr>
        <w:numId w:val="8"/>
      </w:numPr>
    </w:pPr>
  </w:style>
  <w:style w:type="paragraph" w:styleId="List2">
    <w:name w:val="List 2"/>
    <w:basedOn w:val="BodyText"/>
    <w:rsid w:val="007A55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5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5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5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55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55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55B9"/>
    <w:pPr>
      <w:numPr>
        <w:numId w:val="4"/>
      </w:numPr>
    </w:pPr>
  </w:style>
  <w:style w:type="paragraph" w:styleId="ListContinue2">
    <w:name w:val="List Continue 2"/>
    <w:basedOn w:val="List2"/>
    <w:rsid w:val="007A55B9"/>
    <w:pPr>
      <w:ind w:firstLine="0"/>
    </w:pPr>
  </w:style>
  <w:style w:type="paragraph" w:styleId="ListContinue3">
    <w:name w:val="List Continue 3"/>
    <w:basedOn w:val="List3"/>
    <w:rsid w:val="007A55B9"/>
    <w:pPr>
      <w:ind w:left="1021" w:firstLine="0"/>
    </w:pPr>
  </w:style>
  <w:style w:type="paragraph" w:styleId="ListContinue4">
    <w:name w:val="List Continue 4"/>
    <w:basedOn w:val="List4"/>
    <w:rsid w:val="007A55B9"/>
    <w:pPr>
      <w:ind w:firstLine="0"/>
    </w:pPr>
  </w:style>
  <w:style w:type="paragraph" w:styleId="ListContinue5">
    <w:name w:val="List Continue 5"/>
    <w:basedOn w:val="List5"/>
    <w:rsid w:val="007A55B9"/>
    <w:pPr>
      <w:ind w:firstLine="0"/>
    </w:pPr>
  </w:style>
  <w:style w:type="paragraph" w:styleId="ListNumber3">
    <w:name w:val="List Number 3"/>
    <w:basedOn w:val="List3"/>
    <w:rsid w:val="007A55B9"/>
    <w:pPr>
      <w:numPr>
        <w:numId w:val="5"/>
      </w:numPr>
    </w:pPr>
  </w:style>
  <w:style w:type="paragraph" w:styleId="ListNumber4">
    <w:name w:val="List Number 4"/>
    <w:basedOn w:val="List4"/>
    <w:rsid w:val="007A55B9"/>
    <w:pPr>
      <w:numPr>
        <w:numId w:val="6"/>
      </w:numPr>
    </w:pPr>
  </w:style>
  <w:style w:type="paragraph" w:styleId="ListNumber5">
    <w:name w:val="List Number 5"/>
    <w:basedOn w:val="List5"/>
    <w:rsid w:val="007A55B9"/>
    <w:pPr>
      <w:numPr>
        <w:numId w:val="7"/>
      </w:numPr>
    </w:pPr>
  </w:style>
  <w:style w:type="paragraph" w:styleId="BlockText">
    <w:name w:val="Block Text"/>
    <w:basedOn w:val="Normal"/>
    <w:rsid w:val="007A55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5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5B9"/>
    <w:rPr>
      <w:sz w:val="16"/>
      <w:vertAlign w:val="superscript"/>
    </w:rPr>
  </w:style>
  <w:style w:type="character" w:customStyle="1" w:styleId="Symbols">
    <w:name w:val="Symbols"/>
    <w:basedOn w:val="DefaultParagraphFont"/>
    <w:rsid w:val="007A55B9"/>
    <w:rPr>
      <w:rFonts w:ascii="Symbol" w:hAnsi="Symbol"/>
    </w:rPr>
  </w:style>
  <w:style w:type="character" w:customStyle="1" w:styleId="MenuOptions">
    <w:name w:val="Menu Options"/>
    <w:basedOn w:val="DefaultParagraphFont"/>
    <w:rsid w:val="007A55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5B9"/>
    <w:rPr>
      <w:b/>
    </w:rPr>
  </w:style>
  <w:style w:type="character" w:customStyle="1" w:styleId="Underlined">
    <w:name w:val="Underlined"/>
    <w:basedOn w:val="DefaultParagraphFont"/>
    <w:rsid w:val="007A55B9"/>
    <w:rPr>
      <w:u w:val="single"/>
    </w:rPr>
  </w:style>
  <w:style w:type="paragraph" w:customStyle="1" w:styleId="TableBodyTextRight">
    <w:name w:val="Table Body Text Right"/>
    <w:basedOn w:val="TableBodyText"/>
    <w:rsid w:val="007A55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5B9"/>
    <w:rPr>
      <w:sz w:val="18"/>
    </w:rPr>
  </w:style>
  <w:style w:type="paragraph" w:customStyle="1" w:styleId="BodySmallRight">
    <w:name w:val="Body Small Right"/>
    <w:basedOn w:val="BodyTextRight"/>
    <w:rsid w:val="007A55B9"/>
    <w:rPr>
      <w:sz w:val="18"/>
      <w:szCs w:val="18"/>
    </w:rPr>
  </w:style>
  <w:style w:type="paragraph" w:customStyle="1" w:styleId="MarginEdition">
    <w:name w:val="Margin Edition"/>
    <w:basedOn w:val="MarginNote"/>
    <w:rsid w:val="007A55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5B9"/>
    <w:rPr>
      <w:sz w:val="2"/>
      <w:szCs w:val="2"/>
    </w:rPr>
  </w:style>
  <w:style w:type="character" w:customStyle="1" w:styleId="Small">
    <w:name w:val="Small"/>
    <w:basedOn w:val="DefaultParagraphFont"/>
    <w:rsid w:val="007A55B9"/>
    <w:rPr>
      <w:sz w:val="16"/>
    </w:rPr>
  </w:style>
  <w:style w:type="paragraph" w:customStyle="1" w:styleId="WideTable">
    <w:name w:val="Wide Table"/>
    <w:basedOn w:val="Normal"/>
    <w:rsid w:val="007A55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5B9"/>
  </w:style>
  <w:style w:type="paragraph" w:styleId="Quote">
    <w:name w:val="Quote"/>
    <w:basedOn w:val="Heading1"/>
    <w:link w:val="QuoteChar"/>
    <w:qFormat/>
    <w:rsid w:val="007A55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5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5B9"/>
    <w:pPr>
      <w:pageBreakBefore/>
    </w:pPr>
  </w:style>
  <w:style w:type="paragraph" w:customStyle="1" w:styleId="Border">
    <w:name w:val="Border"/>
    <w:basedOn w:val="Normal"/>
    <w:qFormat/>
    <w:rsid w:val="007A55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5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5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5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5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5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5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5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5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5B9"/>
    <w:rPr>
      <w:u w:val="single"/>
    </w:rPr>
  </w:style>
  <w:style w:type="character" w:customStyle="1" w:styleId="BoldandItalics">
    <w:name w:val="Bold and Italics"/>
    <w:qFormat/>
    <w:rsid w:val="007A55B9"/>
    <w:rPr>
      <w:b/>
      <w:i/>
      <w:u w:val="none"/>
    </w:rPr>
  </w:style>
  <w:style w:type="paragraph" w:styleId="BalloonText">
    <w:name w:val="Balloon Text"/>
    <w:basedOn w:val="Normal"/>
    <w:link w:val="BalloonTextChar"/>
    <w:rsid w:val="007A55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5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5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5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5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5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5B9"/>
    <w:pPr>
      <w:spacing w:before="0" w:after="0"/>
    </w:pPr>
  </w:style>
  <w:style w:type="paragraph" w:customStyle="1" w:styleId="BodyTextBold">
    <w:name w:val="Body Text Bold"/>
    <w:basedOn w:val="BodyText"/>
    <w:qFormat/>
    <w:rsid w:val="007A55B9"/>
    <w:rPr>
      <w:b/>
    </w:rPr>
  </w:style>
  <w:style w:type="character" w:styleId="Hyperlink">
    <w:name w:val="Hyperlink"/>
    <w:basedOn w:val="DefaultParagraphFont"/>
    <w:uiPriority w:val="99"/>
    <w:unhideWhenUsed/>
    <w:rsid w:val="00360B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</Words>
  <Characters>4516</Characters>
  <Application>Microsoft Office Word</Application>
  <DocSecurity>0</DocSecurity>
  <Lines>250</Lines>
  <Paragraphs>159</Paragraphs>
  <ScaleCrop>false</ScaleCrop>
  <Company>Author-it Software Corporation Ltd.</Company>
  <LinksUpToDate>false</LinksUpToDate>
  <CharactersWithSpaces>5094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MEM20004 Gain entry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2021-03-31T03:16:00Z</dcterms:created>
  <dcterms:modified xsi:type="dcterms:W3CDTF">2021-03-31T03:16:00Z</dcterms:modified>
</cp:coreProperties>
</file>