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EF8" w:rsidP="008F4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MEM19046 Apply grain setting techniques</w:t>
      </w:r>
      <w:r>
        <w:fldChar w:fldCharType="end"/>
      </w:r>
    </w:p>
    <w:p w:rsidR="008F4EF8" w:rsidP="008F4EF8">
      <w:pPr>
        <w:pStyle w:val="Version"/>
        <w:sectPr w:rsidSect="00C44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89D" w:rsidP="00C4489D">
      <w:pPr>
        <w:pStyle w:val="SuperHeading"/>
      </w:pPr>
      <w:r w:rsidRPr="00C4489D">
        <w:t>Assessment Requirements for MEM19046 Apply grain setting techniques</w:t>
      </w:r>
    </w:p>
    <w:p w:rsidR="00000000" w:rsidRPr="00C4489D" w:rsidP="00C4489D">
      <w:pPr>
        <w:pStyle w:val="Heading1"/>
      </w:pPr>
      <w:bookmarkStart w:id="1" w:name="O_947490"/>
      <w:bookmarkEnd w:id="1"/>
      <w:r w:rsidRPr="00C4489D">
        <w:t>Modification History</w:t>
      </w:r>
    </w:p>
    <w:p w:rsidR="008F4EF8" w:rsidP="008F4EF8">
      <w:pPr>
        <w:pStyle w:val="BodyText"/>
      </w:pPr>
      <w:r w:rsidRPr="00C4489D">
        <w:t>Release 1. Supersedes and is equivalent to MEM19046A Apply grain setting techniques.</w:t>
      </w:r>
    </w:p>
    <w:p w:rsidR="00000000" w:rsidRPr="00C4489D" w:rsidP="00C4489D">
      <w:pPr>
        <w:pStyle w:val="Heading1"/>
      </w:pPr>
      <w:bookmarkStart w:id="2" w:name="O_947493"/>
      <w:bookmarkEnd w:id="2"/>
      <w:r w:rsidRPr="00C4489D">
        <w:t>Performance Evidence</w:t>
      </w:r>
    </w:p>
    <w:p w:rsidR="00000000" w:rsidRPr="00C4489D" w:rsidP="008F4EF8">
      <w:pPr>
        <w:pStyle w:val="BodyText"/>
      </w:pPr>
      <w:r w:rsidRPr="00C4489D">
        <w:t>Evidence required to demonstrate competence in this unit must be relevant to and satisfy the requirements of the elements and performance criteria and include:</w:t>
      </w:r>
    </w:p>
    <w:p w:rsidR="00000000" w:rsidRPr="00C4489D" w:rsidP="00C4489D">
      <w:pPr>
        <w:pStyle w:val="ListBullet"/>
      </w:pPr>
      <w:r w:rsidRPr="00C4489D">
        <w:t>following work instructions, standard operating procedures (SOPs) and safe work practices</w:t>
      </w:r>
    </w:p>
    <w:p w:rsidR="00000000" w:rsidRPr="00C4489D" w:rsidP="00C4489D">
      <w:pPr>
        <w:pStyle w:val="ListBullet"/>
      </w:pPr>
      <w:r w:rsidRPr="00C4489D">
        <w:t>prepa</w:t>
      </w:r>
      <w:r w:rsidRPr="00C4489D">
        <w:t xml:space="preserve">ring for grain setting by identifying metals and gems </w:t>
      </w:r>
    </w:p>
    <w:p w:rsidR="00000000" w:rsidRPr="00C4489D" w:rsidP="00C4489D">
      <w:pPr>
        <w:pStyle w:val="ListBullet"/>
      </w:pPr>
      <w:r w:rsidRPr="00C4489D">
        <w:t>applying techniques for handling gems safely and minimising stress during setting processes</w:t>
      </w:r>
    </w:p>
    <w:p w:rsidR="00000000" w:rsidRPr="00C4489D" w:rsidP="00C4489D">
      <w:pPr>
        <w:pStyle w:val="ListBullet"/>
      </w:pPr>
      <w:r w:rsidRPr="00C4489D">
        <w:t xml:space="preserve">producing grain setting to industry standard on at least two occasions using gem setting tools and equipment </w:t>
      </w:r>
    </w:p>
    <w:p w:rsidR="00000000" w:rsidRPr="00C4489D" w:rsidP="00C4489D">
      <w:pPr>
        <w:pStyle w:val="ListBullet"/>
      </w:pPr>
      <w:r w:rsidRPr="00C4489D">
        <w:t>calculating required material size</w:t>
      </w:r>
    </w:p>
    <w:p w:rsidR="00000000" w:rsidRPr="00C4489D" w:rsidP="00C4489D">
      <w:pPr>
        <w:pStyle w:val="ListBullet"/>
      </w:pPr>
      <w:r w:rsidRPr="00C4489D">
        <w:t>securing the jewellery item to be set without inflicting damage</w:t>
      </w:r>
    </w:p>
    <w:p w:rsidR="00000000" w:rsidRPr="00C4489D" w:rsidP="00C4489D">
      <w:pPr>
        <w:pStyle w:val="ListBullet"/>
      </w:pPr>
      <w:r w:rsidRPr="00C4489D">
        <w:t>marking out and drilling the layout for the gem to be grain set</w:t>
      </w:r>
    </w:p>
    <w:p w:rsidR="00000000" w:rsidRPr="00C4489D" w:rsidP="00C4489D">
      <w:pPr>
        <w:pStyle w:val="ListBullet"/>
      </w:pPr>
      <w:r w:rsidRPr="00C4489D">
        <w:t>selecting the appropriate depth at which to countersink and form a bearing reflective of the</w:t>
      </w:r>
      <w:r w:rsidRPr="00C4489D">
        <w:t xml:space="preserve"> gem height on at least two occasions</w:t>
      </w:r>
    </w:p>
    <w:p w:rsidR="00000000" w:rsidRPr="00C4489D" w:rsidP="00C4489D">
      <w:pPr>
        <w:pStyle w:val="ListBullet"/>
      </w:pPr>
      <w:r w:rsidRPr="00C4489D">
        <w:t>seating the gem material level and straight in the bearing</w:t>
      </w:r>
    </w:p>
    <w:p w:rsidR="00000000" w:rsidRPr="00C4489D" w:rsidP="00C4489D">
      <w:pPr>
        <w:pStyle w:val="ListBullet"/>
      </w:pPr>
      <w:r w:rsidRPr="00C4489D">
        <w:t>securing the gem by raising two or more grains over the gem</w:t>
      </w:r>
    </w:p>
    <w:p w:rsidR="00000000" w:rsidRPr="00C4489D" w:rsidP="00C4489D">
      <w:pPr>
        <w:pStyle w:val="ListBullet"/>
      </w:pPr>
      <w:r w:rsidRPr="00C4489D">
        <w:t xml:space="preserve">using gravers to remove excess metal from around the gem to highlight the reflective properties of </w:t>
      </w:r>
      <w:r w:rsidRPr="00C4489D">
        <w:t>the gem on at least two occasions</w:t>
      </w:r>
    </w:p>
    <w:p w:rsidR="00000000" w:rsidRPr="00C4489D" w:rsidP="00C4489D">
      <w:pPr>
        <w:pStyle w:val="ListBullet"/>
      </w:pPr>
      <w:r w:rsidRPr="00C4489D">
        <w:t>choosing the correct size beading tool and forming the grains into beads over the gem</w:t>
      </w:r>
    </w:p>
    <w:p w:rsidR="00000000" w:rsidRPr="00C4489D" w:rsidP="00C4489D">
      <w:pPr>
        <w:pStyle w:val="ListBullet"/>
      </w:pPr>
      <w:r w:rsidRPr="00C4489D">
        <w:t xml:space="preserve">bright cutting the edges of the setting area using gravers to finish the setting work in accordance with industry standard </w:t>
      </w:r>
    </w:p>
    <w:p w:rsidR="00000000" w:rsidRPr="00C4489D" w:rsidP="00C4489D">
      <w:pPr>
        <w:pStyle w:val="ListBullet"/>
      </w:pPr>
      <w:r w:rsidRPr="00C4489D">
        <w:t>completing w</w:t>
      </w:r>
      <w:r w:rsidRPr="00C4489D">
        <w:t>orkplace documentation in accordance with procedures.</w:t>
      </w:r>
    </w:p>
    <w:p w:rsidR="00000000" w:rsidRPr="00C4489D" w:rsidP="00C4489D">
      <w:pPr>
        <w:pStyle w:val="BodyText"/>
      </w:pPr>
    </w:p>
    <w:p w:rsidR="008F4EF8" w:rsidRPr="008F4EF8" w:rsidP="008F4EF8">
      <w:pPr>
        <w:pStyle w:val="BodyText"/>
        <w:rPr>
          <w:i/>
        </w:rPr>
      </w:pPr>
      <w:r w:rsidRPr="008F4EF8">
        <w:rPr>
          <w:rStyle w:val="Emphasis"/>
        </w:rPr>
        <w:t>Note: Where a volume and/or frequency is not specified, demonstration must be provided at least once.</w:t>
      </w:r>
    </w:p>
    <w:p w:rsidR="00000000" w:rsidRPr="00C4489D" w:rsidP="00C4489D">
      <w:pPr>
        <w:pStyle w:val="Heading1"/>
      </w:pPr>
      <w:bookmarkStart w:id="3" w:name="O_947492"/>
      <w:bookmarkEnd w:id="3"/>
      <w:r w:rsidRPr="00C4489D">
        <w:t>Knowledge Evidence</w:t>
      </w:r>
    </w:p>
    <w:p w:rsidR="00000000" w:rsidRPr="00C4489D" w:rsidP="008F4EF8">
      <w:pPr>
        <w:pStyle w:val="BodyText"/>
      </w:pPr>
      <w:r w:rsidRPr="00C4489D">
        <w:t>Evidence required to demonstrate the required knowledge for this unit must be relevant to and satisfy the requirements of the elements and performance criteria and include knowledge of:</w:t>
      </w:r>
    </w:p>
    <w:p w:rsidR="00000000" w:rsidRPr="00C4489D" w:rsidP="00C4489D">
      <w:pPr>
        <w:pStyle w:val="ListBullet"/>
      </w:pPr>
      <w:r w:rsidRPr="00C4489D">
        <w:t>safe work practices and procedures and use of personal protective equ</w:t>
      </w:r>
      <w:r w:rsidRPr="00C4489D">
        <w:t>ipment (PPE)</w:t>
      </w:r>
    </w:p>
    <w:p w:rsidR="00000000" w:rsidRPr="00C4489D" w:rsidP="00C4489D">
      <w:pPr>
        <w:pStyle w:val="ListBullet"/>
      </w:pPr>
      <w:r w:rsidRPr="00C4489D">
        <w:t>characteristics and purpose of grain in a setting, including characteristics of pave, thread and grain, and single stone bead set</w:t>
      </w:r>
    </w:p>
    <w:p w:rsidR="00000000" w:rsidRPr="00C4489D" w:rsidP="00C4489D">
      <w:pPr>
        <w:pStyle w:val="ListBullet"/>
      </w:pPr>
      <w:r w:rsidRPr="00C4489D">
        <w:t>gem materials</w:t>
      </w:r>
    </w:p>
    <w:p w:rsidR="00000000" w:rsidRPr="00C4489D" w:rsidP="00C4489D">
      <w:pPr>
        <w:pStyle w:val="ListBullet"/>
      </w:pPr>
      <w:r w:rsidRPr="00C4489D">
        <w:t>setting terminology</w:t>
      </w:r>
    </w:p>
    <w:p w:rsidR="00000000" w:rsidRPr="00C4489D" w:rsidP="00C4489D">
      <w:pPr>
        <w:pStyle w:val="ListBullet"/>
      </w:pPr>
      <w:r w:rsidRPr="00C4489D">
        <w:t>gem features and handling procedures</w:t>
      </w:r>
    </w:p>
    <w:p w:rsidR="00000000" w:rsidRPr="00C4489D" w:rsidP="00C4489D">
      <w:pPr>
        <w:pStyle w:val="ListBullet"/>
      </w:pPr>
      <w:r w:rsidRPr="00C4489D">
        <w:t>grain setting styles, tools and equipment</w:t>
      </w:r>
    </w:p>
    <w:p w:rsidR="00000000" w:rsidRPr="00C4489D" w:rsidP="00C4489D">
      <w:pPr>
        <w:pStyle w:val="ListBullet"/>
      </w:pPr>
      <w:r w:rsidRPr="00C4489D">
        <w:t>use and maintenance requirements of tools</w:t>
      </w:r>
    </w:p>
    <w:p w:rsidR="00000000" w:rsidRPr="00C4489D" w:rsidP="00C4489D">
      <w:pPr>
        <w:pStyle w:val="ListBullet"/>
      </w:pPr>
      <w:r w:rsidRPr="00C4489D">
        <w:t>setting techniques, processes and procedures</w:t>
      </w:r>
    </w:p>
    <w:p w:rsidR="00000000" w:rsidRPr="00C4489D" w:rsidP="00C4489D">
      <w:pPr>
        <w:pStyle w:val="ListBullet"/>
      </w:pPr>
      <w:r w:rsidRPr="00C4489D">
        <w:t>working properties of gems</w:t>
      </w:r>
    </w:p>
    <w:p w:rsidR="00000000" w:rsidRPr="00C4489D" w:rsidP="00C4489D">
      <w:pPr>
        <w:pStyle w:val="ListBullet"/>
      </w:pPr>
      <w:r w:rsidRPr="00C4489D">
        <w:t>suitability of metal for carving and setting</w:t>
      </w:r>
    </w:p>
    <w:p w:rsidR="00000000" w:rsidRPr="00C4489D" w:rsidP="00C4489D">
      <w:pPr>
        <w:pStyle w:val="ListBullet"/>
      </w:pPr>
      <w:r w:rsidRPr="00C4489D">
        <w:t>essential characteristics of various styles of grain settings</w:t>
      </w:r>
    </w:p>
    <w:p w:rsidR="00000000" w:rsidRPr="00C4489D" w:rsidP="00C4489D">
      <w:pPr>
        <w:pStyle w:val="ListBullet"/>
      </w:pPr>
      <w:r w:rsidRPr="00C4489D">
        <w:t>various securing techniques for jew</w:t>
      </w:r>
      <w:r w:rsidRPr="00C4489D">
        <w:t>ellery items to be set</w:t>
      </w:r>
    </w:p>
    <w:p w:rsidR="00000000" w:rsidRPr="00C4489D" w:rsidP="00C4489D">
      <w:pPr>
        <w:pStyle w:val="ListBullet"/>
      </w:pPr>
      <w:r w:rsidRPr="00C4489D">
        <w:t xml:space="preserve">spacing and layout techniques for pave, thread and grain, and single stone bead setting </w:t>
      </w:r>
    </w:p>
    <w:p w:rsidR="00000000" w:rsidRPr="00C4489D" w:rsidP="00C4489D">
      <w:pPr>
        <w:pStyle w:val="ListBullet"/>
      </w:pPr>
      <w:r w:rsidRPr="00C4489D">
        <w:t xml:space="preserve">techniques for inspection and quality control of the setting work </w:t>
      </w:r>
    </w:p>
    <w:p w:rsidR="00000000" w:rsidRPr="00C4489D" w:rsidP="00C4489D">
      <w:pPr>
        <w:pStyle w:val="ListBullet"/>
      </w:pPr>
      <w:r w:rsidRPr="00C4489D">
        <w:t>industry standards for setting work</w:t>
      </w:r>
    </w:p>
    <w:p w:rsidR="008F4EF8" w:rsidP="00C4489D">
      <w:pPr>
        <w:pStyle w:val="ListBullet"/>
      </w:pPr>
      <w:r w:rsidRPr="00C4489D">
        <w:t>environmental considerations during grain</w:t>
      </w:r>
      <w:r w:rsidRPr="00C4489D">
        <w:t xml:space="preserve"> setting.</w:t>
      </w:r>
    </w:p>
    <w:p w:rsidR="008F4EF8" w:rsidP="00C4489D">
      <w:pPr>
        <w:pStyle w:val="ListBullet"/>
      </w:pPr>
    </w:p>
    <w:p w:rsidR="00000000" w:rsidRPr="00C4489D" w:rsidP="00C4489D">
      <w:pPr>
        <w:pStyle w:val="Heading1"/>
      </w:pPr>
      <w:bookmarkStart w:id="4" w:name="O_947491"/>
      <w:bookmarkEnd w:id="4"/>
      <w:r w:rsidRPr="00C4489D">
        <w:t>Assessment Conditions</w:t>
      </w:r>
    </w:p>
    <w:p w:rsidR="00000000" w:rsidRPr="00C4489D" w:rsidP="00C4489D">
      <w:pPr>
        <w:pStyle w:val="ListBullet"/>
      </w:pPr>
      <w:r w:rsidRPr="00C4489D">
        <w:t>Assessors must:</w:t>
      </w:r>
    </w:p>
    <w:p w:rsidR="00000000" w:rsidRPr="00C4489D" w:rsidP="00C4489D">
      <w:pPr>
        <w:pStyle w:val="ListBullet2"/>
      </w:pPr>
      <w:r w:rsidRPr="00C4489D">
        <w:t>have vocational competency in applying grain setting techniques at least to the level being assessed with relevant industry knowledge and experience</w:t>
      </w:r>
    </w:p>
    <w:p w:rsidR="00000000" w:rsidRPr="00C4489D" w:rsidP="00C4489D">
      <w:pPr>
        <w:pStyle w:val="ListBullet2"/>
      </w:pPr>
      <w:r w:rsidRPr="00C4489D">
        <w:t xml:space="preserve">satisfy the assessor requirements in the </w:t>
      </w:r>
      <w:r w:rsidRPr="00C4489D">
        <w:rPr>
          <w:rStyle w:val="Emphasis"/>
        </w:rPr>
        <w:t xml:space="preserve">Standards for Registered Training Organisations 2015 </w:t>
      </w:r>
      <w:r w:rsidRPr="00C4489D">
        <w:t>or its replacement</w:t>
      </w:r>
      <w:r w:rsidRPr="00C4489D">
        <w:rPr>
          <w:rStyle w:val="Emphasis"/>
        </w:rPr>
        <w:t xml:space="preserve"> </w:t>
      </w:r>
      <w:r w:rsidRPr="00C4489D">
        <w:t xml:space="preserve">and comply with the </w:t>
      </w:r>
      <w:r w:rsidRPr="00C4489D">
        <w:rPr>
          <w:rStyle w:val="Emphasis"/>
        </w:rPr>
        <w:t xml:space="preserve">National Vocational Education and Training Regulator Act 2011, </w:t>
      </w:r>
      <w:r w:rsidRPr="00C4489D">
        <w:t>its replacement</w:t>
      </w:r>
      <w:r w:rsidRPr="00C4489D">
        <w:rPr>
          <w:rStyle w:val="Emphasis"/>
        </w:rPr>
        <w:t xml:space="preserve"> </w:t>
      </w:r>
      <w:r w:rsidRPr="00C4489D">
        <w:t>or equivalent legislation covering VET regul</w:t>
      </w:r>
      <w:r w:rsidRPr="00C4489D">
        <w:t>ation in a non-referring state/territory as the case requires.</w:t>
      </w:r>
    </w:p>
    <w:p w:rsidR="00000000" w:rsidRPr="00C4489D" w:rsidP="00C4489D">
      <w:pPr>
        <w:pStyle w:val="ListBullet"/>
      </w:pPr>
      <w:r w:rsidRPr="00C4489D">
        <w:t>Where possible, assessment must occur in operational workplace situations. Where this is not possible or where personal safety or environmental damage are limiting factors, assessment must occ</w:t>
      </w:r>
      <w:r w:rsidRPr="00C4489D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C4489D">
        <w:t>d job role environment skills.</w:t>
      </w:r>
    </w:p>
    <w:p w:rsidR="00000000" w:rsidRPr="00C4489D" w:rsidP="00C4489D">
      <w:pPr>
        <w:pStyle w:val="ListBullet"/>
      </w:pPr>
      <w:r w:rsidRPr="00C4489D">
        <w:t>Conditions for assessment must include access to all tools, equipment, materials and documentation required, including relevant workplace procedures, product and manufacturing specifications.</w:t>
      </w:r>
    </w:p>
    <w:p w:rsidR="008F4EF8" w:rsidP="00C4489D">
      <w:pPr>
        <w:pStyle w:val="ListBullet"/>
      </w:pPr>
      <w:r w:rsidRPr="00C4489D">
        <w:t>Assessment processes and techniqu</w:t>
      </w:r>
      <w:r w:rsidRPr="00C4489D">
        <w:t>es must be appropriate to the language, literacy and numeracy requirements of the work being performed and the needs of the candidate.</w:t>
      </w:r>
    </w:p>
    <w:p w:rsidR="008F4EF8" w:rsidP="00C4489D">
      <w:pPr>
        <w:pStyle w:val="ListBullet"/>
      </w:pPr>
    </w:p>
    <w:p w:rsidR="00000000" w:rsidRPr="00C4489D" w:rsidP="00C4489D">
      <w:pPr>
        <w:pStyle w:val="Heading1"/>
      </w:pPr>
      <w:bookmarkStart w:id="5" w:name="O_947489"/>
      <w:bookmarkEnd w:id="5"/>
      <w:r w:rsidRPr="00C4489D">
        <w:t>Links</w:t>
      </w:r>
    </w:p>
    <w:p w:rsidR="00000000" w:rsidRPr="00C4489D" w:rsidP="008F4EF8">
      <w:pPr>
        <w:pStyle w:val="BodyText"/>
      </w:pPr>
      <w:r w:rsidRPr="00C448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1A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4489D" w:rsidP="00C4489D"/>
    <w:sectPr w:rsidSect="00C448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 w:rsidP="00C44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EF8" w:rsidP="00C44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4EF8" w:rsidP="00C44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89D" w:rsidRPr="008F4EF8" w:rsidP="008F4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F8" w:rsidRPr="002D2AF8" w:rsidP="00C44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MEM19046 Apply grain setting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4EF8" w:rsidP="00C44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43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4B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AC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89D"/>
  </w:style>
  <w:style w:type="character" w:customStyle="1" w:styleId="Heading1Char">
    <w:name w:val="Heading 1 Char"/>
    <w:basedOn w:val="DefaultParagraphFont"/>
    <w:link w:val="Heading1"/>
    <w:rsid w:val="00C44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8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48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489D"/>
    <w:rPr>
      <w:i/>
    </w:rPr>
  </w:style>
  <w:style w:type="paragraph" w:customStyle="1" w:styleId="SuperHeading">
    <w:name w:val="SuperHeading"/>
    <w:basedOn w:val="Normal"/>
    <w:rsid w:val="00C44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489D"/>
    <w:rPr>
      <w:b/>
      <w:spacing w:val="0"/>
    </w:rPr>
  </w:style>
  <w:style w:type="paragraph" w:customStyle="1" w:styleId="SuperTitle">
    <w:name w:val="SuperTitle"/>
    <w:basedOn w:val="Title"/>
    <w:rsid w:val="00C44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4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8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4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89D"/>
  </w:style>
  <w:style w:type="paragraph" w:styleId="TableofFigures">
    <w:name w:val="table of figures"/>
    <w:basedOn w:val="Normal"/>
    <w:next w:val="Normal"/>
    <w:semiHidden/>
    <w:rsid w:val="00C44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489D"/>
    <w:rPr>
      <w:rFonts w:ascii="Wingdings" w:hAnsi="Wingdings"/>
    </w:rPr>
  </w:style>
  <w:style w:type="paragraph" w:customStyle="1" w:styleId="TableHeading">
    <w:name w:val="Table Heading"/>
    <w:basedOn w:val="HeadingBase"/>
    <w:rsid w:val="00C44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89D"/>
    <w:rPr>
      <w:color w:val="0033CC"/>
      <w:u w:val="none"/>
    </w:rPr>
  </w:style>
  <w:style w:type="paragraph" w:customStyle="1" w:styleId="BodyTextRight">
    <w:name w:val="Body Text Right"/>
    <w:basedOn w:val="BodyText"/>
    <w:rsid w:val="00C44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89D"/>
    <w:rPr>
      <w:sz w:val="32"/>
    </w:rPr>
  </w:style>
  <w:style w:type="paragraph" w:customStyle="1" w:styleId="HeadingProcedure">
    <w:name w:val="Heading Procedure"/>
    <w:basedOn w:val="HeadingBase"/>
    <w:next w:val="Normal"/>
    <w:rsid w:val="00C44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89D"/>
    <w:pPr>
      <w:spacing w:before="60" w:after="60"/>
    </w:pPr>
  </w:style>
  <w:style w:type="paragraph" w:styleId="ListContinue">
    <w:name w:val="List Continue"/>
    <w:basedOn w:val="List"/>
    <w:rsid w:val="00C4489D"/>
    <w:pPr>
      <w:ind w:firstLine="0"/>
    </w:pPr>
  </w:style>
  <w:style w:type="paragraph" w:customStyle="1" w:styleId="ListNote">
    <w:name w:val="List Note"/>
    <w:basedOn w:val="List"/>
    <w:rsid w:val="00C44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89D"/>
    <w:rPr>
      <w:rFonts w:ascii="Courier New" w:hAnsi="Courier New"/>
    </w:rPr>
  </w:style>
  <w:style w:type="paragraph" w:customStyle="1" w:styleId="NoteBullet">
    <w:name w:val="Note Bullet"/>
    <w:basedOn w:val="Note"/>
    <w:rsid w:val="00C44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4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89D"/>
    <w:rPr>
      <w:b/>
      <w:smallCaps/>
    </w:rPr>
  </w:style>
  <w:style w:type="paragraph" w:customStyle="1" w:styleId="TableListNumber">
    <w:name w:val="Table List Number"/>
    <w:basedOn w:val="ListNumber"/>
    <w:rsid w:val="00C44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89D"/>
    <w:pPr>
      <w:numPr>
        <w:numId w:val="9"/>
      </w:numPr>
    </w:pPr>
  </w:style>
  <w:style w:type="paragraph" w:customStyle="1" w:styleId="ListAlpha2">
    <w:name w:val="List Alpha 2"/>
    <w:basedOn w:val="List2"/>
    <w:rsid w:val="00C4489D"/>
    <w:pPr>
      <w:numPr>
        <w:numId w:val="8"/>
      </w:numPr>
    </w:pPr>
  </w:style>
  <w:style w:type="paragraph" w:styleId="List2">
    <w:name w:val="List 2"/>
    <w:basedOn w:val="BodyText"/>
    <w:rsid w:val="00C44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489D"/>
    <w:pPr>
      <w:numPr>
        <w:numId w:val="4"/>
      </w:numPr>
    </w:pPr>
  </w:style>
  <w:style w:type="paragraph" w:styleId="ListContinue2">
    <w:name w:val="List Continue 2"/>
    <w:basedOn w:val="List2"/>
    <w:rsid w:val="00C4489D"/>
    <w:pPr>
      <w:ind w:firstLine="0"/>
    </w:pPr>
  </w:style>
  <w:style w:type="paragraph" w:styleId="ListContinue3">
    <w:name w:val="List Continue 3"/>
    <w:basedOn w:val="List3"/>
    <w:rsid w:val="00C4489D"/>
    <w:pPr>
      <w:ind w:left="1021" w:firstLine="0"/>
    </w:pPr>
  </w:style>
  <w:style w:type="paragraph" w:styleId="ListContinue4">
    <w:name w:val="List Continue 4"/>
    <w:basedOn w:val="List4"/>
    <w:rsid w:val="00C4489D"/>
    <w:pPr>
      <w:ind w:firstLine="0"/>
    </w:pPr>
  </w:style>
  <w:style w:type="paragraph" w:styleId="ListContinue5">
    <w:name w:val="List Continue 5"/>
    <w:basedOn w:val="List5"/>
    <w:rsid w:val="00C4489D"/>
    <w:pPr>
      <w:ind w:firstLine="0"/>
    </w:pPr>
  </w:style>
  <w:style w:type="paragraph" w:styleId="ListNumber3">
    <w:name w:val="List Number 3"/>
    <w:basedOn w:val="List3"/>
    <w:rsid w:val="00C4489D"/>
    <w:pPr>
      <w:numPr>
        <w:numId w:val="5"/>
      </w:numPr>
    </w:pPr>
  </w:style>
  <w:style w:type="paragraph" w:styleId="ListNumber4">
    <w:name w:val="List Number 4"/>
    <w:basedOn w:val="List4"/>
    <w:rsid w:val="00C4489D"/>
    <w:pPr>
      <w:numPr>
        <w:numId w:val="6"/>
      </w:numPr>
    </w:pPr>
  </w:style>
  <w:style w:type="paragraph" w:styleId="ListNumber5">
    <w:name w:val="List Number 5"/>
    <w:basedOn w:val="List5"/>
    <w:rsid w:val="00C4489D"/>
    <w:pPr>
      <w:numPr>
        <w:numId w:val="7"/>
      </w:numPr>
    </w:pPr>
  </w:style>
  <w:style w:type="paragraph" w:styleId="BlockText">
    <w:name w:val="Block Text"/>
    <w:basedOn w:val="Normal"/>
    <w:rsid w:val="00C44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89D"/>
    <w:rPr>
      <w:sz w:val="16"/>
      <w:vertAlign w:val="superscript"/>
    </w:rPr>
  </w:style>
  <w:style w:type="character" w:customStyle="1" w:styleId="Symbols">
    <w:name w:val="Symbols"/>
    <w:basedOn w:val="DefaultParagraphFont"/>
    <w:rsid w:val="00C4489D"/>
    <w:rPr>
      <w:rFonts w:ascii="Symbol" w:hAnsi="Symbol"/>
    </w:rPr>
  </w:style>
  <w:style w:type="character" w:customStyle="1" w:styleId="MenuOptions">
    <w:name w:val="Menu Options"/>
    <w:basedOn w:val="DefaultParagraphFont"/>
    <w:rsid w:val="00C44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89D"/>
    <w:rPr>
      <w:b/>
    </w:rPr>
  </w:style>
  <w:style w:type="character" w:customStyle="1" w:styleId="Underlined">
    <w:name w:val="Underlined"/>
    <w:basedOn w:val="DefaultParagraphFont"/>
    <w:rsid w:val="00C4489D"/>
    <w:rPr>
      <w:u w:val="single"/>
    </w:rPr>
  </w:style>
  <w:style w:type="paragraph" w:customStyle="1" w:styleId="TableBodyTextRight">
    <w:name w:val="Table Body Text Right"/>
    <w:basedOn w:val="TableBodyText"/>
    <w:rsid w:val="00C44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89D"/>
    <w:rPr>
      <w:sz w:val="18"/>
    </w:rPr>
  </w:style>
  <w:style w:type="paragraph" w:customStyle="1" w:styleId="BodySmallRight">
    <w:name w:val="Body Small Right"/>
    <w:basedOn w:val="BodyTextRight"/>
    <w:rsid w:val="00C4489D"/>
    <w:rPr>
      <w:sz w:val="18"/>
      <w:szCs w:val="18"/>
    </w:rPr>
  </w:style>
  <w:style w:type="paragraph" w:customStyle="1" w:styleId="MarginEdition">
    <w:name w:val="Margin Edition"/>
    <w:basedOn w:val="MarginNote"/>
    <w:rsid w:val="00C44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89D"/>
    <w:rPr>
      <w:sz w:val="2"/>
      <w:szCs w:val="2"/>
    </w:rPr>
  </w:style>
  <w:style w:type="character" w:customStyle="1" w:styleId="Small">
    <w:name w:val="Small"/>
    <w:basedOn w:val="DefaultParagraphFont"/>
    <w:rsid w:val="00C4489D"/>
    <w:rPr>
      <w:sz w:val="16"/>
    </w:rPr>
  </w:style>
  <w:style w:type="paragraph" w:customStyle="1" w:styleId="WideTable">
    <w:name w:val="Wide Table"/>
    <w:basedOn w:val="Normal"/>
    <w:rsid w:val="00C44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89D"/>
  </w:style>
  <w:style w:type="paragraph" w:styleId="Quote">
    <w:name w:val="Quote"/>
    <w:basedOn w:val="Heading1"/>
    <w:link w:val="QuoteChar"/>
    <w:qFormat/>
    <w:rsid w:val="00C44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89D"/>
    <w:pPr>
      <w:pageBreakBefore/>
    </w:pPr>
  </w:style>
  <w:style w:type="paragraph" w:customStyle="1" w:styleId="Border">
    <w:name w:val="Border"/>
    <w:basedOn w:val="Normal"/>
    <w:qFormat/>
    <w:rsid w:val="00C44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89D"/>
    <w:rPr>
      <w:u w:val="single"/>
    </w:rPr>
  </w:style>
  <w:style w:type="character" w:customStyle="1" w:styleId="BoldandItalics">
    <w:name w:val="Bold and Italics"/>
    <w:qFormat/>
    <w:rsid w:val="00C4489D"/>
    <w:rPr>
      <w:b/>
      <w:i/>
      <w:u w:val="none"/>
    </w:rPr>
  </w:style>
  <w:style w:type="paragraph" w:styleId="BalloonText">
    <w:name w:val="Balloon Text"/>
    <w:basedOn w:val="Normal"/>
    <w:link w:val="BalloonTextChar"/>
    <w:rsid w:val="00C44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89D"/>
    <w:pPr>
      <w:spacing w:before="0" w:after="0"/>
    </w:pPr>
  </w:style>
  <w:style w:type="paragraph" w:customStyle="1" w:styleId="BodyTextBold">
    <w:name w:val="Body Text Bold"/>
    <w:basedOn w:val="BodyText"/>
    <w:qFormat/>
    <w:rsid w:val="00C4489D"/>
    <w:rPr>
      <w:b/>
    </w:rPr>
  </w:style>
  <w:style w:type="character" w:styleId="Hyperlink">
    <w:name w:val="Hyperlink"/>
    <w:basedOn w:val="DefaultParagraphFont"/>
    <w:uiPriority w:val="99"/>
    <w:unhideWhenUsed/>
    <w:rsid w:val="008F4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3815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MEM19046 Apply grain setting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