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CDC" w:rsidP="00F41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MEM19041 Experiment with jewellery or object designs</w:t>
      </w:r>
      <w:r>
        <w:fldChar w:fldCharType="end"/>
      </w:r>
    </w:p>
    <w:p w:rsidR="00F41CDC" w:rsidP="00F41CDC">
      <w:pPr>
        <w:pStyle w:val="Version"/>
        <w:sectPr w:rsidSect="00F11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47E" w:rsidP="00F1147E">
      <w:pPr>
        <w:pStyle w:val="SuperHeading"/>
      </w:pPr>
      <w:r w:rsidRPr="00F1147E">
        <w:t>Assessment Requirements for MEM19041 Experiment with jewellery or object designs</w:t>
      </w:r>
    </w:p>
    <w:p w:rsidR="00000000" w:rsidRPr="00F1147E" w:rsidP="00F1147E">
      <w:pPr>
        <w:pStyle w:val="Heading1"/>
      </w:pPr>
      <w:bookmarkStart w:id="1" w:name="O_947395"/>
      <w:bookmarkEnd w:id="1"/>
      <w:r w:rsidRPr="00F1147E">
        <w:t>Modification History</w:t>
      </w:r>
    </w:p>
    <w:p w:rsidR="00F41CDC" w:rsidP="00F41CDC">
      <w:pPr>
        <w:pStyle w:val="BodyText"/>
      </w:pPr>
      <w:r w:rsidRPr="00F1147E">
        <w:t>Release 1. Supersedes and is equivalent to MEM19041A Experiment with jewellery or object designs.</w:t>
      </w:r>
    </w:p>
    <w:p w:rsidR="00000000" w:rsidRPr="00F1147E" w:rsidP="00F1147E">
      <w:pPr>
        <w:pStyle w:val="Heading1"/>
      </w:pPr>
      <w:bookmarkStart w:id="2" w:name="O_947398"/>
      <w:bookmarkEnd w:id="2"/>
      <w:r w:rsidRPr="00F1147E">
        <w:t>Performance Evidence</w:t>
      </w:r>
    </w:p>
    <w:p w:rsidR="00000000" w:rsidRPr="00F1147E" w:rsidP="00F41CDC">
      <w:pPr>
        <w:pStyle w:val="BodyText"/>
      </w:pPr>
      <w:r w:rsidRPr="00F1147E">
        <w:t>Evidence required to demonstrate competence in this unit must be relevant to and satisfy the requirements of the elements and performance criteria and include:</w:t>
      </w:r>
    </w:p>
    <w:p w:rsidR="00000000" w:rsidRPr="00F1147E" w:rsidP="00F1147E">
      <w:pPr>
        <w:pStyle w:val="ListBullet"/>
      </w:pPr>
      <w:r w:rsidRPr="00F1147E">
        <w:t>following work instructions, standard operating procedures (SOPs) and safe work practices</w:t>
      </w:r>
    </w:p>
    <w:p w:rsidR="00000000" w:rsidRPr="00F1147E" w:rsidP="00F1147E">
      <w:pPr>
        <w:pStyle w:val="ListBullet"/>
      </w:pPr>
      <w:r w:rsidRPr="00F1147E">
        <w:t>condu</w:t>
      </w:r>
      <w:r w:rsidRPr="00F1147E">
        <w:t>cting research into jewellery or object design to determine trends and sustainability considerations</w:t>
      </w:r>
    </w:p>
    <w:p w:rsidR="00000000" w:rsidRPr="00F1147E" w:rsidP="00F1147E">
      <w:pPr>
        <w:pStyle w:val="ListBullet"/>
      </w:pPr>
      <w:r w:rsidRPr="00F1147E">
        <w:t xml:space="preserve">confirming objectives for design process </w:t>
      </w:r>
    </w:p>
    <w:p w:rsidR="00000000" w:rsidRPr="00F1147E" w:rsidP="00F1147E">
      <w:pPr>
        <w:pStyle w:val="ListBullet"/>
      </w:pPr>
      <w:r w:rsidRPr="00F1147E">
        <w:t xml:space="preserve">determining parameters and market conditions for the design process </w:t>
      </w:r>
    </w:p>
    <w:p w:rsidR="00000000" w:rsidRPr="00F1147E" w:rsidP="00F1147E">
      <w:pPr>
        <w:pStyle w:val="ListBullet"/>
      </w:pPr>
      <w:r w:rsidRPr="00F1147E">
        <w:t>applying skill and knowledge in materials an</w:t>
      </w:r>
      <w:r w:rsidRPr="00F1147E">
        <w:t>d construction processes on at least two occasions to experiment with and develop design concepts, including selecting and using design tools and techniques for jewellery or object designs</w:t>
      </w:r>
    </w:p>
    <w:p w:rsidR="00000000" w:rsidRPr="00F1147E" w:rsidP="00F1147E">
      <w:pPr>
        <w:pStyle w:val="ListBullet"/>
      </w:pPr>
      <w:r w:rsidRPr="00F1147E">
        <w:t xml:space="preserve">testing and assessing the viability of design concepts on at least </w:t>
      </w:r>
      <w:r w:rsidRPr="00F1147E">
        <w:t>two  occasions</w:t>
      </w:r>
    </w:p>
    <w:p w:rsidR="00000000" w:rsidRPr="00F1147E" w:rsidP="00F1147E">
      <w:pPr>
        <w:pStyle w:val="ListBullet"/>
      </w:pPr>
      <w:r w:rsidRPr="00F1147E">
        <w:t>using and producing design documentation and production plan.</w:t>
      </w:r>
    </w:p>
    <w:p w:rsidR="00000000" w:rsidRPr="00F1147E" w:rsidP="00F1147E">
      <w:pPr>
        <w:pStyle w:val="BodyText"/>
      </w:pPr>
    </w:p>
    <w:p w:rsidR="00F41CDC" w:rsidRPr="00F41CDC" w:rsidP="00F41CDC">
      <w:pPr>
        <w:pStyle w:val="BodyText"/>
        <w:rPr>
          <w:i/>
        </w:rPr>
      </w:pPr>
      <w:r w:rsidRPr="00F41CDC">
        <w:rPr>
          <w:rStyle w:val="Emphasis"/>
        </w:rPr>
        <w:t>Note: Where a volume and/or frequency is not specified, demonstration must be provided at least once.</w:t>
      </w:r>
    </w:p>
    <w:p w:rsidR="00000000" w:rsidRPr="00F1147E" w:rsidP="00F1147E">
      <w:pPr>
        <w:pStyle w:val="Heading1"/>
      </w:pPr>
      <w:bookmarkStart w:id="3" w:name="O_947397"/>
      <w:bookmarkEnd w:id="3"/>
      <w:r w:rsidRPr="00F1147E">
        <w:t>Knowledge Evidence</w:t>
      </w:r>
    </w:p>
    <w:p w:rsidR="00000000" w:rsidRPr="00F1147E" w:rsidP="00F41CDC">
      <w:pPr>
        <w:pStyle w:val="BodyText"/>
      </w:pPr>
      <w:r w:rsidRPr="00F1147E">
        <w:t>Evidence required to demonstrate the re</w:t>
      </w:r>
      <w:r w:rsidRPr="00F1147E">
        <w:t>quired knowledge for this unit must be relevant to and satisfy the requirements of the elements and performance criteria and include knowledge of:</w:t>
      </w:r>
    </w:p>
    <w:p w:rsidR="00000000" w:rsidRPr="00F1147E" w:rsidP="00F1147E">
      <w:pPr>
        <w:pStyle w:val="ListBullet"/>
      </w:pPr>
      <w:r w:rsidRPr="00F1147E">
        <w:t>safe work practices and procedures and use of personal protective equipment (PPE)</w:t>
      </w:r>
    </w:p>
    <w:p w:rsidR="00000000" w:rsidRPr="00F1147E" w:rsidP="00F1147E">
      <w:pPr>
        <w:pStyle w:val="ListBullet"/>
      </w:pPr>
      <w:r w:rsidRPr="00F1147E">
        <w:t>purpose, objectives and pa</w:t>
      </w:r>
      <w:r w:rsidRPr="00F1147E">
        <w:t xml:space="preserve">rameters for the design process </w:t>
      </w:r>
    </w:p>
    <w:p w:rsidR="00000000" w:rsidRPr="00F1147E" w:rsidP="00F1147E">
      <w:pPr>
        <w:pStyle w:val="ListBullet"/>
      </w:pPr>
      <w:r w:rsidRPr="00F1147E">
        <w:t>market conditions that influence the design process</w:t>
      </w:r>
    </w:p>
    <w:p w:rsidR="00000000" w:rsidRPr="00F1147E" w:rsidP="00F1147E">
      <w:pPr>
        <w:pStyle w:val="ListBullet"/>
      </w:pPr>
      <w:r w:rsidRPr="00F1147E">
        <w:t>research methodology suitable to determine trends, future directions and sustainability considerations in jewellery or object design</w:t>
      </w:r>
    </w:p>
    <w:p w:rsidR="00000000" w:rsidRPr="00F1147E" w:rsidP="00F1147E">
      <w:pPr>
        <w:pStyle w:val="ListBullet"/>
      </w:pPr>
      <w:r w:rsidRPr="00F1147E">
        <w:t>range and uses of jewellery and object production techniques</w:t>
      </w:r>
    </w:p>
    <w:p w:rsidR="00000000" w:rsidRPr="00F1147E" w:rsidP="00F1147E">
      <w:pPr>
        <w:pStyle w:val="ListBullet"/>
      </w:pPr>
      <w:r w:rsidRPr="00F1147E">
        <w:t>calculations and measurements</w:t>
      </w:r>
    </w:p>
    <w:p w:rsidR="00000000" w:rsidRPr="00F1147E" w:rsidP="00F1147E">
      <w:pPr>
        <w:pStyle w:val="ListBullet"/>
      </w:pPr>
      <w:r w:rsidRPr="00F1147E">
        <w:t>reasons for selecting particular materials, construction methods, manufacturing and finishing techniques</w:t>
      </w:r>
    </w:p>
    <w:p w:rsidR="00000000" w:rsidRPr="00F1147E" w:rsidP="00F1147E">
      <w:pPr>
        <w:pStyle w:val="ListBullet"/>
      </w:pPr>
      <w:r w:rsidRPr="00F1147E">
        <w:t>creative design tools and processes</w:t>
      </w:r>
    </w:p>
    <w:p w:rsidR="00000000" w:rsidRPr="00F1147E" w:rsidP="00F1147E">
      <w:pPr>
        <w:pStyle w:val="ListBullet"/>
      </w:pPr>
      <w:r w:rsidRPr="00F1147E">
        <w:t xml:space="preserve">elements and principles </w:t>
      </w:r>
      <w:r w:rsidRPr="00F1147E">
        <w:t>of design</w:t>
      </w:r>
    </w:p>
    <w:p w:rsidR="00000000" w:rsidRPr="00F1147E" w:rsidP="00F1147E">
      <w:pPr>
        <w:pStyle w:val="ListBullet"/>
      </w:pPr>
      <w:r w:rsidRPr="00F1147E">
        <w:t>planning and process stages</w:t>
      </w:r>
    </w:p>
    <w:p w:rsidR="00000000" w:rsidRPr="00F1147E" w:rsidP="00F1147E">
      <w:pPr>
        <w:pStyle w:val="ListBullet"/>
      </w:pPr>
      <w:r w:rsidRPr="00F1147E">
        <w:t>working properties of precious and non-precious metals and other materials</w:t>
      </w:r>
    </w:p>
    <w:p w:rsidR="00000000" w:rsidRPr="00F1147E" w:rsidP="00F1147E">
      <w:pPr>
        <w:pStyle w:val="ListBullet"/>
      </w:pPr>
      <w:r w:rsidRPr="00F1147E">
        <w:t>fine detail manufacturing processes</w:t>
      </w:r>
    </w:p>
    <w:p w:rsidR="00000000" w:rsidRPr="00F1147E" w:rsidP="00F1147E">
      <w:pPr>
        <w:pStyle w:val="ListBullet"/>
      </w:pPr>
      <w:r w:rsidRPr="00F1147E">
        <w:t>various components of jewellery or object items</w:t>
      </w:r>
    </w:p>
    <w:p w:rsidR="00000000" w:rsidRPr="00F1147E" w:rsidP="00F1147E">
      <w:pPr>
        <w:pStyle w:val="ListBullet"/>
      </w:pPr>
      <w:r w:rsidRPr="00F1147E">
        <w:t>design tests</w:t>
      </w:r>
    </w:p>
    <w:p w:rsidR="00F41CDC" w:rsidP="00F1147E">
      <w:pPr>
        <w:pStyle w:val="ListBullet"/>
      </w:pPr>
      <w:r w:rsidRPr="00F1147E">
        <w:t>measuring devices, documentation and recording</w:t>
      </w:r>
      <w:r w:rsidRPr="00F1147E">
        <w:t xml:space="preserve"> methods.</w:t>
      </w:r>
    </w:p>
    <w:p w:rsidR="00F41CDC" w:rsidP="00F1147E">
      <w:pPr>
        <w:pStyle w:val="ListBullet"/>
      </w:pPr>
    </w:p>
    <w:p w:rsidR="00000000" w:rsidRPr="00F1147E" w:rsidP="00F1147E">
      <w:pPr>
        <w:pStyle w:val="Heading1"/>
      </w:pPr>
      <w:bookmarkStart w:id="4" w:name="O_947396"/>
      <w:bookmarkEnd w:id="4"/>
      <w:r w:rsidRPr="00F1147E">
        <w:t>Assessment Conditions</w:t>
      </w:r>
    </w:p>
    <w:p w:rsidR="00000000" w:rsidRPr="00F1147E" w:rsidP="00F1147E">
      <w:pPr>
        <w:pStyle w:val="ListBullet"/>
      </w:pPr>
      <w:r w:rsidRPr="00F1147E">
        <w:t>Assessors must:</w:t>
      </w:r>
    </w:p>
    <w:p w:rsidR="00000000" w:rsidRPr="00F1147E" w:rsidP="00F1147E">
      <w:pPr>
        <w:pStyle w:val="ListBullet2"/>
      </w:pPr>
      <w:r w:rsidRPr="00F1147E">
        <w:t>have vocational competency in experimenting with jewellery or object designs at least to the level being assessed with relevant industry knowledge and experience</w:t>
      </w:r>
    </w:p>
    <w:p w:rsidR="00000000" w:rsidRPr="00F1147E" w:rsidP="00F1147E">
      <w:pPr>
        <w:pStyle w:val="ListBullet2"/>
      </w:pPr>
      <w:r w:rsidRPr="00F1147E">
        <w:t xml:space="preserve">satisfy the assessor requirements in the </w:t>
      </w:r>
      <w:r w:rsidRPr="00F1147E">
        <w:rPr>
          <w:rStyle w:val="Emphasis"/>
        </w:rPr>
        <w:t xml:space="preserve">Standards for Registered Training Organisations 2015 </w:t>
      </w:r>
      <w:r w:rsidRPr="00F1147E">
        <w:t>or its replacement</w:t>
      </w:r>
      <w:r w:rsidRPr="00F1147E">
        <w:rPr>
          <w:rStyle w:val="Emphasis"/>
        </w:rPr>
        <w:t xml:space="preserve"> </w:t>
      </w:r>
      <w:r w:rsidRPr="00F1147E">
        <w:t xml:space="preserve">and comply with the </w:t>
      </w:r>
      <w:r w:rsidRPr="00F1147E">
        <w:rPr>
          <w:rStyle w:val="Emphasis"/>
        </w:rPr>
        <w:t xml:space="preserve">National Vocational Education and Training Regulator Act 2011, </w:t>
      </w:r>
      <w:r w:rsidRPr="00F1147E">
        <w:t>its replacement</w:t>
      </w:r>
      <w:r w:rsidRPr="00F1147E">
        <w:rPr>
          <w:rStyle w:val="Emphasis"/>
        </w:rPr>
        <w:t xml:space="preserve"> </w:t>
      </w:r>
      <w:r w:rsidRPr="00F1147E">
        <w:t>or equivalent legislation covering VET regul</w:t>
      </w:r>
      <w:r w:rsidRPr="00F1147E">
        <w:t>ation in a non-referring state/territory as the case requires.</w:t>
      </w:r>
    </w:p>
    <w:p w:rsidR="00000000" w:rsidRPr="00F1147E" w:rsidP="00F1147E">
      <w:pPr>
        <w:pStyle w:val="ListBullet"/>
      </w:pPr>
      <w:r w:rsidRPr="00F1147E">
        <w:t>Where possible, assessment must occur in operational workplace situations. Where this is not possible or where personal safety or environmental damage are limiting factors, assessment must occ</w:t>
      </w:r>
      <w:r w:rsidRPr="00F1147E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F1147E">
        <w:t>d job role environment skills.</w:t>
      </w:r>
    </w:p>
    <w:p w:rsidR="00000000" w:rsidRPr="00F1147E" w:rsidP="00F1147E">
      <w:pPr>
        <w:pStyle w:val="ListBullet"/>
      </w:pPr>
      <w:r w:rsidRPr="00F1147E">
        <w:t>Conditions for assessment must include access to all tools, equipment, materials and documentation required, including relevant workplace procedures, product and manufacturing specifications.</w:t>
      </w:r>
    </w:p>
    <w:p w:rsidR="00F41CDC" w:rsidP="00F1147E">
      <w:pPr>
        <w:pStyle w:val="ListBullet"/>
      </w:pPr>
      <w:r w:rsidRPr="00F1147E">
        <w:t>Assessment processes and techniqu</w:t>
      </w:r>
      <w:r w:rsidRPr="00F1147E">
        <w:t>es must be appropriate to the language, literacy and numeracy requirements of the work being performed and the needs of the candidate.</w:t>
      </w:r>
    </w:p>
    <w:p w:rsidR="00F41CDC" w:rsidP="00F1147E">
      <w:pPr>
        <w:pStyle w:val="ListBullet"/>
      </w:pPr>
    </w:p>
    <w:p w:rsidR="00000000" w:rsidRPr="00F1147E" w:rsidP="00F1147E">
      <w:pPr>
        <w:pStyle w:val="Heading1"/>
      </w:pPr>
      <w:bookmarkStart w:id="5" w:name="O_947394"/>
      <w:bookmarkEnd w:id="5"/>
      <w:r w:rsidRPr="00F1147E">
        <w:t>Links</w:t>
      </w:r>
    </w:p>
    <w:p w:rsidR="00000000" w:rsidRPr="00F1147E" w:rsidP="00F41CDC">
      <w:pPr>
        <w:pStyle w:val="BodyText"/>
      </w:pPr>
      <w:r w:rsidRPr="00F11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57B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147E" w:rsidP="00F1147E"/>
    <w:sectPr w:rsidSect="00F11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7E" w:rsidRPr="00F41CDC" w:rsidP="00F41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DC" w:rsidP="00F11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CDC" w:rsidP="00F11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1CDC" w:rsidP="00F11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47E" w:rsidRPr="00F41CDC" w:rsidP="00F41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DC" w:rsidRPr="002D2AF8" w:rsidP="00F11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MEM19041 Experiment with jewellery or object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1CDC" w:rsidP="00F11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69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AB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03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47E"/>
  </w:style>
  <w:style w:type="character" w:customStyle="1" w:styleId="Heading1Char">
    <w:name w:val="Heading 1 Char"/>
    <w:basedOn w:val="DefaultParagraphFont"/>
    <w:link w:val="Heading1"/>
    <w:rsid w:val="00F11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4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14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147E"/>
    <w:rPr>
      <w:i/>
    </w:rPr>
  </w:style>
  <w:style w:type="paragraph" w:customStyle="1" w:styleId="SuperHeading">
    <w:name w:val="SuperHeading"/>
    <w:basedOn w:val="Normal"/>
    <w:rsid w:val="00F11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147E"/>
    <w:rPr>
      <w:b/>
      <w:spacing w:val="0"/>
    </w:rPr>
  </w:style>
  <w:style w:type="paragraph" w:customStyle="1" w:styleId="SuperTitle">
    <w:name w:val="SuperTitle"/>
    <w:basedOn w:val="Title"/>
    <w:rsid w:val="00F11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4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47E"/>
  </w:style>
  <w:style w:type="paragraph" w:styleId="TableofFigures">
    <w:name w:val="table of figures"/>
    <w:basedOn w:val="Normal"/>
    <w:next w:val="Normal"/>
    <w:semiHidden/>
    <w:rsid w:val="00F11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4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147E"/>
    <w:rPr>
      <w:rFonts w:ascii="Wingdings" w:hAnsi="Wingdings"/>
    </w:rPr>
  </w:style>
  <w:style w:type="paragraph" w:customStyle="1" w:styleId="TableHeading">
    <w:name w:val="Table Heading"/>
    <w:basedOn w:val="HeadingBase"/>
    <w:rsid w:val="00F11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47E"/>
    <w:rPr>
      <w:color w:val="0033CC"/>
      <w:u w:val="none"/>
    </w:rPr>
  </w:style>
  <w:style w:type="paragraph" w:customStyle="1" w:styleId="BodyTextRight">
    <w:name w:val="Body Text Right"/>
    <w:basedOn w:val="BodyText"/>
    <w:rsid w:val="00F11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47E"/>
    <w:rPr>
      <w:sz w:val="32"/>
    </w:rPr>
  </w:style>
  <w:style w:type="paragraph" w:customStyle="1" w:styleId="HeadingProcedure">
    <w:name w:val="Heading Procedure"/>
    <w:basedOn w:val="HeadingBase"/>
    <w:next w:val="Normal"/>
    <w:rsid w:val="00F11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47E"/>
    <w:pPr>
      <w:spacing w:before="60" w:after="60"/>
    </w:pPr>
  </w:style>
  <w:style w:type="paragraph" w:styleId="ListContinue">
    <w:name w:val="List Continue"/>
    <w:basedOn w:val="List"/>
    <w:rsid w:val="00F1147E"/>
    <w:pPr>
      <w:ind w:firstLine="0"/>
    </w:pPr>
  </w:style>
  <w:style w:type="paragraph" w:customStyle="1" w:styleId="ListNote">
    <w:name w:val="List Note"/>
    <w:basedOn w:val="List"/>
    <w:rsid w:val="00F11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47E"/>
    <w:rPr>
      <w:rFonts w:ascii="Courier New" w:hAnsi="Courier New"/>
    </w:rPr>
  </w:style>
  <w:style w:type="paragraph" w:customStyle="1" w:styleId="NoteBullet">
    <w:name w:val="Note Bullet"/>
    <w:basedOn w:val="Note"/>
    <w:rsid w:val="00F11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4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47E"/>
    <w:rPr>
      <w:b/>
      <w:smallCaps/>
    </w:rPr>
  </w:style>
  <w:style w:type="paragraph" w:customStyle="1" w:styleId="TableListNumber">
    <w:name w:val="Table List Number"/>
    <w:basedOn w:val="ListNumber"/>
    <w:rsid w:val="00F11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47E"/>
    <w:pPr>
      <w:numPr>
        <w:numId w:val="9"/>
      </w:numPr>
    </w:pPr>
  </w:style>
  <w:style w:type="paragraph" w:customStyle="1" w:styleId="ListAlpha2">
    <w:name w:val="List Alpha 2"/>
    <w:basedOn w:val="List2"/>
    <w:rsid w:val="00F1147E"/>
    <w:pPr>
      <w:numPr>
        <w:numId w:val="8"/>
      </w:numPr>
    </w:pPr>
  </w:style>
  <w:style w:type="paragraph" w:styleId="List2">
    <w:name w:val="List 2"/>
    <w:basedOn w:val="BodyText"/>
    <w:rsid w:val="00F11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4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147E"/>
    <w:pPr>
      <w:numPr>
        <w:numId w:val="4"/>
      </w:numPr>
    </w:pPr>
  </w:style>
  <w:style w:type="paragraph" w:styleId="ListContinue2">
    <w:name w:val="List Continue 2"/>
    <w:basedOn w:val="List2"/>
    <w:rsid w:val="00F1147E"/>
    <w:pPr>
      <w:ind w:firstLine="0"/>
    </w:pPr>
  </w:style>
  <w:style w:type="paragraph" w:styleId="ListContinue3">
    <w:name w:val="List Continue 3"/>
    <w:basedOn w:val="List3"/>
    <w:rsid w:val="00F1147E"/>
    <w:pPr>
      <w:ind w:left="1021" w:firstLine="0"/>
    </w:pPr>
  </w:style>
  <w:style w:type="paragraph" w:styleId="ListContinue4">
    <w:name w:val="List Continue 4"/>
    <w:basedOn w:val="List4"/>
    <w:rsid w:val="00F1147E"/>
    <w:pPr>
      <w:ind w:firstLine="0"/>
    </w:pPr>
  </w:style>
  <w:style w:type="paragraph" w:styleId="ListContinue5">
    <w:name w:val="List Continue 5"/>
    <w:basedOn w:val="List5"/>
    <w:rsid w:val="00F1147E"/>
    <w:pPr>
      <w:ind w:firstLine="0"/>
    </w:pPr>
  </w:style>
  <w:style w:type="paragraph" w:styleId="ListNumber3">
    <w:name w:val="List Number 3"/>
    <w:basedOn w:val="List3"/>
    <w:rsid w:val="00F1147E"/>
    <w:pPr>
      <w:numPr>
        <w:numId w:val="5"/>
      </w:numPr>
    </w:pPr>
  </w:style>
  <w:style w:type="paragraph" w:styleId="ListNumber4">
    <w:name w:val="List Number 4"/>
    <w:basedOn w:val="List4"/>
    <w:rsid w:val="00F1147E"/>
    <w:pPr>
      <w:numPr>
        <w:numId w:val="6"/>
      </w:numPr>
    </w:pPr>
  </w:style>
  <w:style w:type="paragraph" w:styleId="ListNumber5">
    <w:name w:val="List Number 5"/>
    <w:basedOn w:val="List5"/>
    <w:rsid w:val="00F1147E"/>
    <w:pPr>
      <w:numPr>
        <w:numId w:val="7"/>
      </w:numPr>
    </w:pPr>
  </w:style>
  <w:style w:type="paragraph" w:styleId="BlockText">
    <w:name w:val="Block Text"/>
    <w:basedOn w:val="Normal"/>
    <w:rsid w:val="00F11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47E"/>
    <w:rPr>
      <w:sz w:val="16"/>
      <w:vertAlign w:val="superscript"/>
    </w:rPr>
  </w:style>
  <w:style w:type="character" w:customStyle="1" w:styleId="Symbols">
    <w:name w:val="Symbols"/>
    <w:basedOn w:val="DefaultParagraphFont"/>
    <w:rsid w:val="00F1147E"/>
    <w:rPr>
      <w:rFonts w:ascii="Symbol" w:hAnsi="Symbol"/>
    </w:rPr>
  </w:style>
  <w:style w:type="character" w:customStyle="1" w:styleId="MenuOptions">
    <w:name w:val="Menu Options"/>
    <w:basedOn w:val="DefaultParagraphFont"/>
    <w:rsid w:val="00F11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47E"/>
    <w:rPr>
      <w:b/>
    </w:rPr>
  </w:style>
  <w:style w:type="character" w:customStyle="1" w:styleId="Underlined">
    <w:name w:val="Underlined"/>
    <w:basedOn w:val="DefaultParagraphFont"/>
    <w:rsid w:val="00F1147E"/>
    <w:rPr>
      <w:u w:val="single"/>
    </w:rPr>
  </w:style>
  <w:style w:type="paragraph" w:customStyle="1" w:styleId="TableBodyTextRight">
    <w:name w:val="Table Body Text Right"/>
    <w:basedOn w:val="TableBodyText"/>
    <w:rsid w:val="00F11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47E"/>
    <w:rPr>
      <w:sz w:val="18"/>
    </w:rPr>
  </w:style>
  <w:style w:type="paragraph" w:customStyle="1" w:styleId="BodySmallRight">
    <w:name w:val="Body Small Right"/>
    <w:basedOn w:val="BodyTextRight"/>
    <w:rsid w:val="00F1147E"/>
    <w:rPr>
      <w:sz w:val="18"/>
      <w:szCs w:val="18"/>
    </w:rPr>
  </w:style>
  <w:style w:type="paragraph" w:customStyle="1" w:styleId="MarginEdition">
    <w:name w:val="Margin Edition"/>
    <w:basedOn w:val="MarginNote"/>
    <w:rsid w:val="00F11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47E"/>
    <w:rPr>
      <w:sz w:val="2"/>
      <w:szCs w:val="2"/>
    </w:rPr>
  </w:style>
  <w:style w:type="character" w:customStyle="1" w:styleId="Small">
    <w:name w:val="Small"/>
    <w:basedOn w:val="DefaultParagraphFont"/>
    <w:rsid w:val="00F1147E"/>
    <w:rPr>
      <w:sz w:val="16"/>
    </w:rPr>
  </w:style>
  <w:style w:type="paragraph" w:customStyle="1" w:styleId="WideTable">
    <w:name w:val="Wide Table"/>
    <w:basedOn w:val="Normal"/>
    <w:rsid w:val="00F11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47E"/>
  </w:style>
  <w:style w:type="paragraph" w:styleId="Quote">
    <w:name w:val="Quote"/>
    <w:basedOn w:val="Heading1"/>
    <w:link w:val="QuoteChar"/>
    <w:qFormat/>
    <w:rsid w:val="00F11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47E"/>
    <w:pPr>
      <w:pageBreakBefore/>
    </w:pPr>
  </w:style>
  <w:style w:type="paragraph" w:customStyle="1" w:styleId="Border">
    <w:name w:val="Border"/>
    <w:basedOn w:val="Normal"/>
    <w:qFormat/>
    <w:rsid w:val="00F11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47E"/>
    <w:rPr>
      <w:u w:val="single"/>
    </w:rPr>
  </w:style>
  <w:style w:type="character" w:customStyle="1" w:styleId="BoldandItalics">
    <w:name w:val="Bold and Italics"/>
    <w:qFormat/>
    <w:rsid w:val="00F1147E"/>
    <w:rPr>
      <w:b/>
      <w:i/>
      <w:u w:val="none"/>
    </w:rPr>
  </w:style>
  <w:style w:type="paragraph" w:styleId="BalloonText">
    <w:name w:val="Balloon Text"/>
    <w:basedOn w:val="Normal"/>
    <w:link w:val="BalloonTextChar"/>
    <w:rsid w:val="00F11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47E"/>
    <w:pPr>
      <w:spacing w:before="0" w:after="0"/>
    </w:pPr>
  </w:style>
  <w:style w:type="paragraph" w:customStyle="1" w:styleId="BodyTextBold">
    <w:name w:val="Body Text Bold"/>
    <w:basedOn w:val="BodyText"/>
    <w:qFormat/>
    <w:rsid w:val="00F1147E"/>
    <w:rPr>
      <w:b/>
    </w:rPr>
  </w:style>
  <w:style w:type="character" w:styleId="Hyperlink">
    <w:name w:val="Hyperlink"/>
    <w:basedOn w:val="DefaultParagraphFont"/>
    <w:uiPriority w:val="99"/>
    <w:unhideWhenUsed/>
    <w:rsid w:val="00F41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3475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MEM19041 Experiment with jewellery or object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