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29A" w:rsidP="00241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MEM19039 Plan, conduct and supervise a jewellery or object exhibition or program</w:t>
      </w:r>
      <w:r>
        <w:fldChar w:fldCharType="end"/>
      </w:r>
    </w:p>
    <w:p w:rsidR="0024129A" w:rsidP="0024129A">
      <w:pPr>
        <w:pStyle w:val="Version"/>
        <w:sectPr w:rsidSect="00570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B2D" w:rsidP="00570B2D">
      <w:pPr>
        <w:pStyle w:val="SuperHeading"/>
      </w:pPr>
      <w:r w:rsidRPr="00570B2D">
        <w:t>Assessment Requirements for MEM19039 Plan, conduct and supervise a jewellery or object exhibition or program</w:t>
      </w:r>
    </w:p>
    <w:p w:rsidR="00000000" w:rsidRPr="00570B2D" w:rsidP="00570B2D">
      <w:pPr>
        <w:pStyle w:val="Heading1"/>
      </w:pPr>
      <w:bookmarkStart w:id="1" w:name="O_947357"/>
      <w:bookmarkEnd w:id="1"/>
      <w:r w:rsidRPr="00570B2D">
        <w:t>Modification History</w:t>
      </w:r>
    </w:p>
    <w:p w:rsidR="0024129A" w:rsidP="0024129A">
      <w:pPr>
        <w:pStyle w:val="BodyText"/>
      </w:pPr>
      <w:r w:rsidRPr="00570B2D">
        <w:t>Release 1. Sup</w:t>
      </w:r>
      <w:r w:rsidRPr="00570B2D">
        <w:t>ersedes and is equivalent to MEM19039A Plan, conduct and supervise a jewellery and object exhibition.</w:t>
      </w:r>
    </w:p>
    <w:p w:rsidR="00000000" w:rsidRPr="00570B2D" w:rsidP="00570B2D">
      <w:pPr>
        <w:pStyle w:val="Heading1"/>
      </w:pPr>
      <w:bookmarkStart w:id="2" w:name="O_947360"/>
      <w:bookmarkEnd w:id="2"/>
      <w:r w:rsidRPr="00570B2D">
        <w:t>Performance Evidence</w:t>
      </w:r>
    </w:p>
    <w:p w:rsidR="00000000" w:rsidRPr="00570B2D" w:rsidP="0024129A">
      <w:pPr>
        <w:pStyle w:val="BodyText"/>
      </w:pPr>
      <w:r w:rsidRPr="00570B2D">
        <w:t>Evidence required to demonstrate competence in this unit must be relevant to and satisfy the requirements of the el</w:t>
      </w:r>
      <w:r w:rsidRPr="00570B2D">
        <w:t>ements and performance criteria on at least two occasions and include:</w:t>
      </w:r>
    </w:p>
    <w:p w:rsidR="00000000" w:rsidRPr="00570B2D" w:rsidP="00570B2D">
      <w:pPr>
        <w:pStyle w:val="ListBullet"/>
      </w:pPr>
      <w:r w:rsidRPr="00570B2D">
        <w:t>following work instructions, standard operating procedures (SOPs) and safe work practices</w:t>
      </w:r>
    </w:p>
    <w:p w:rsidR="00000000" w:rsidRPr="00570B2D" w:rsidP="00570B2D">
      <w:pPr>
        <w:pStyle w:val="ListBullet"/>
      </w:pPr>
      <w:r w:rsidRPr="00570B2D">
        <w:t>clarifying and confirming exhibition or program aims, objectives and purpose within existing t</w:t>
      </w:r>
      <w:r w:rsidRPr="00570B2D">
        <w:t xml:space="preserve">echnical and spatial constraints and resource estimates </w:t>
      </w:r>
    </w:p>
    <w:p w:rsidR="00000000" w:rsidRPr="00570B2D" w:rsidP="00570B2D">
      <w:pPr>
        <w:pStyle w:val="ListBullet"/>
      </w:pPr>
      <w:r w:rsidRPr="00570B2D">
        <w:t>developing a plan for the exhibition or program which details all aspects of the activity, including use of resources, marketing and operational plans</w:t>
      </w:r>
    </w:p>
    <w:p w:rsidR="00000000" w:rsidRPr="00570B2D" w:rsidP="00570B2D">
      <w:pPr>
        <w:pStyle w:val="ListBullet"/>
      </w:pPr>
      <w:r w:rsidRPr="00570B2D">
        <w:t xml:space="preserve">engaging all relevant personnel </w:t>
      </w:r>
    </w:p>
    <w:p w:rsidR="00000000" w:rsidRPr="00570B2D" w:rsidP="00570B2D">
      <w:pPr>
        <w:pStyle w:val="ListBullet"/>
      </w:pPr>
      <w:r w:rsidRPr="00570B2D">
        <w:t>coordinating th</w:t>
      </w:r>
      <w:r w:rsidRPr="00570B2D">
        <w:t xml:space="preserve">e implementation of the exhibition or program according to operational requirements </w:t>
      </w:r>
    </w:p>
    <w:p w:rsidR="00000000" w:rsidRPr="00570B2D" w:rsidP="00570B2D">
      <w:pPr>
        <w:pStyle w:val="ListBullet"/>
      </w:pPr>
      <w:r w:rsidRPr="00570B2D">
        <w:t>managing the human, financial and technical resources in the implementation phase of the development plan and making variations, adjustments and changes to the plan withou</w:t>
      </w:r>
      <w:r w:rsidRPr="00570B2D">
        <w:t>t compromising the activity</w:t>
      </w:r>
    </w:p>
    <w:p w:rsidR="00000000" w:rsidRPr="00570B2D" w:rsidP="00570B2D">
      <w:pPr>
        <w:pStyle w:val="ListBullet"/>
      </w:pPr>
      <w:r w:rsidRPr="00570B2D">
        <w:t>assessing the impacts of the exhibition or program.</w:t>
      </w:r>
    </w:p>
    <w:p w:rsidR="00000000" w:rsidRPr="00570B2D" w:rsidP="00570B2D">
      <w:pPr>
        <w:pStyle w:val="BodyText"/>
      </w:pPr>
    </w:p>
    <w:p w:rsidR="0024129A" w:rsidRPr="0024129A" w:rsidP="0024129A">
      <w:pPr>
        <w:pStyle w:val="BodyText"/>
        <w:rPr>
          <w:i/>
        </w:rPr>
      </w:pPr>
      <w:r w:rsidRPr="0024129A">
        <w:rPr>
          <w:rStyle w:val="Emphasis"/>
        </w:rPr>
        <w:t>Note: Where a volume and/or frequency is not specified, demonstration must be provided at least once.</w:t>
      </w:r>
    </w:p>
    <w:p w:rsidR="00000000" w:rsidRPr="00570B2D" w:rsidP="00570B2D">
      <w:pPr>
        <w:pStyle w:val="Heading1"/>
      </w:pPr>
      <w:bookmarkStart w:id="3" w:name="O_947359"/>
      <w:bookmarkEnd w:id="3"/>
      <w:r w:rsidRPr="00570B2D">
        <w:t>Knowledge Evidence</w:t>
      </w:r>
    </w:p>
    <w:p w:rsidR="00000000" w:rsidRPr="00570B2D" w:rsidP="0024129A">
      <w:pPr>
        <w:pStyle w:val="BodyText"/>
      </w:pPr>
      <w:r w:rsidRPr="00570B2D">
        <w:t>Evidence required to demonstrate the</w:t>
      </w:r>
      <w:r w:rsidRPr="00570B2D">
        <w:t xml:space="preserve"> required knowledge for this unit must be relevant to and satisfy the requirements of the elements and performance criteria and include knowledge of:</w:t>
      </w:r>
    </w:p>
    <w:p w:rsidR="00000000" w:rsidRPr="00570B2D" w:rsidP="00570B2D">
      <w:pPr>
        <w:pStyle w:val="ListBullet"/>
      </w:pPr>
      <w:r w:rsidRPr="00570B2D">
        <w:t xml:space="preserve">safe work practices and procedures </w:t>
      </w:r>
    </w:p>
    <w:p w:rsidR="00000000" w:rsidRPr="00570B2D" w:rsidP="00570B2D">
      <w:pPr>
        <w:pStyle w:val="ListBullet"/>
      </w:pPr>
      <w:r w:rsidRPr="00570B2D">
        <w:t xml:space="preserve">constraints on exhibiting </w:t>
      </w:r>
    </w:p>
    <w:p w:rsidR="00000000" w:rsidRPr="00570B2D" w:rsidP="00570B2D">
      <w:pPr>
        <w:pStyle w:val="ListBullet"/>
      </w:pPr>
      <w:r w:rsidRPr="00570B2D">
        <w:t>operational and resource requirements for exhibiting</w:t>
      </w:r>
    </w:p>
    <w:p w:rsidR="00000000" w:rsidRPr="00570B2D" w:rsidP="00570B2D">
      <w:pPr>
        <w:pStyle w:val="ListBullet"/>
      </w:pPr>
      <w:r w:rsidRPr="00570B2D">
        <w:t xml:space="preserve">specialised knowledge of subject areas </w:t>
      </w:r>
    </w:p>
    <w:p w:rsidR="00000000" w:rsidRPr="00570B2D" w:rsidP="00570B2D">
      <w:pPr>
        <w:pStyle w:val="ListBullet"/>
      </w:pPr>
      <w:r w:rsidRPr="00570B2D">
        <w:t xml:space="preserve">policies and priorities for exhibitions and public programs </w:t>
      </w:r>
    </w:p>
    <w:p w:rsidR="00000000" w:rsidRPr="00570B2D" w:rsidP="00570B2D">
      <w:pPr>
        <w:pStyle w:val="ListBullet"/>
      </w:pPr>
      <w:r w:rsidRPr="00570B2D">
        <w:t xml:space="preserve">legal, ethical and financial requirements for exhibitions and public programs </w:t>
      </w:r>
    </w:p>
    <w:p w:rsidR="00000000" w:rsidRPr="00570B2D" w:rsidP="00570B2D">
      <w:pPr>
        <w:pStyle w:val="ListBullet"/>
      </w:pPr>
      <w:r w:rsidRPr="00570B2D">
        <w:t>insurance and indemnity</w:t>
      </w:r>
      <w:r w:rsidRPr="00570B2D">
        <w:t xml:space="preserve"> requirements </w:t>
      </w:r>
    </w:p>
    <w:p w:rsidR="00000000" w:rsidRPr="00570B2D" w:rsidP="00570B2D">
      <w:pPr>
        <w:pStyle w:val="ListBullet"/>
      </w:pPr>
      <w:r w:rsidRPr="00570B2D">
        <w:t xml:space="preserve">appropriate personnel to consult </w:t>
      </w:r>
    </w:p>
    <w:p w:rsidR="00000000" w:rsidRPr="00570B2D" w:rsidP="00570B2D">
      <w:pPr>
        <w:pStyle w:val="ListBullet"/>
      </w:pPr>
      <w:r w:rsidRPr="00570B2D">
        <w:t xml:space="preserve">cultural protocols and applying cross-cultural sensitivity and effective communication techniques to all communications </w:t>
      </w:r>
    </w:p>
    <w:p w:rsidR="00000000" w:rsidRPr="00570B2D" w:rsidP="00570B2D">
      <w:pPr>
        <w:pStyle w:val="ListBullet"/>
      </w:pPr>
      <w:r w:rsidRPr="00570B2D">
        <w:t xml:space="preserve">indigenous culture and issues </w:t>
      </w:r>
    </w:p>
    <w:p w:rsidR="00000000" w:rsidRPr="00570B2D" w:rsidP="00570B2D">
      <w:pPr>
        <w:pStyle w:val="ListBullet"/>
      </w:pPr>
      <w:r w:rsidRPr="00570B2D">
        <w:t xml:space="preserve">intellectual and copyright issues </w:t>
      </w:r>
    </w:p>
    <w:p w:rsidR="00000000" w:rsidRPr="00570B2D" w:rsidP="00570B2D">
      <w:pPr>
        <w:pStyle w:val="ListBullet"/>
      </w:pPr>
      <w:r w:rsidRPr="00570B2D">
        <w:t>users and their need</w:t>
      </w:r>
      <w:r w:rsidRPr="00570B2D">
        <w:t xml:space="preserve">s </w:t>
      </w:r>
    </w:p>
    <w:p w:rsidR="00000000" w:rsidRPr="00570B2D" w:rsidP="00570B2D">
      <w:pPr>
        <w:pStyle w:val="ListBullet"/>
      </w:pPr>
      <w:r w:rsidRPr="00570B2D">
        <w:t xml:space="preserve">sources of expert advice </w:t>
      </w:r>
    </w:p>
    <w:p w:rsidR="00000000" w:rsidRPr="00570B2D" w:rsidP="00570B2D">
      <w:pPr>
        <w:pStyle w:val="ListBullet"/>
      </w:pPr>
      <w:r w:rsidRPr="00570B2D">
        <w:t>security and protection of items being used</w:t>
      </w:r>
    </w:p>
    <w:p w:rsidR="00000000" w:rsidRPr="00570B2D" w:rsidP="00570B2D">
      <w:pPr>
        <w:pStyle w:val="ListBullet"/>
      </w:pPr>
      <w:r w:rsidRPr="00570B2D">
        <w:t xml:space="preserve">basic conservation methods and principles </w:t>
      </w:r>
    </w:p>
    <w:p w:rsidR="00000000" w:rsidRPr="00570B2D" w:rsidP="00570B2D">
      <w:pPr>
        <w:pStyle w:val="ListBullet"/>
      </w:pPr>
      <w:r w:rsidRPr="00570B2D">
        <w:t xml:space="preserve">evaluation data and techniques </w:t>
      </w:r>
    </w:p>
    <w:p w:rsidR="00000000" w:rsidRPr="00570B2D" w:rsidP="00570B2D">
      <w:pPr>
        <w:pStyle w:val="ListBullet"/>
      </w:pPr>
      <w:r w:rsidRPr="00570B2D">
        <w:t xml:space="preserve">effective customer service </w:t>
      </w:r>
    </w:p>
    <w:p w:rsidR="00000000" w:rsidRPr="00570B2D" w:rsidP="00570B2D">
      <w:pPr>
        <w:pStyle w:val="ListBullet"/>
      </w:pPr>
      <w:r w:rsidRPr="00570B2D">
        <w:t>proposal development</w:t>
      </w:r>
    </w:p>
    <w:p w:rsidR="00000000" w:rsidRPr="00570B2D" w:rsidP="00570B2D">
      <w:pPr>
        <w:pStyle w:val="ListBullet"/>
      </w:pPr>
      <w:r w:rsidRPr="00570B2D">
        <w:t xml:space="preserve">exhibition presentation techniques </w:t>
      </w:r>
    </w:p>
    <w:p w:rsidR="00000000" w:rsidRPr="00570B2D" w:rsidP="00570B2D">
      <w:pPr>
        <w:pStyle w:val="ListBullet"/>
      </w:pPr>
      <w:r w:rsidRPr="00570B2D">
        <w:t>environmental considera</w:t>
      </w:r>
      <w:r w:rsidRPr="00570B2D">
        <w:t xml:space="preserve">tions </w:t>
      </w:r>
    </w:p>
    <w:p w:rsidR="0024129A" w:rsidP="00570B2D">
      <w:pPr>
        <w:pStyle w:val="ListBullet"/>
      </w:pPr>
      <w:r w:rsidRPr="00570B2D">
        <w:t>audience development considerations.</w:t>
      </w:r>
    </w:p>
    <w:p w:rsidR="0024129A" w:rsidP="00570B2D">
      <w:pPr>
        <w:pStyle w:val="ListBullet"/>
      </w:pPr>
    </w:p>
    <w:p w:rsidR="00000000" w:rsidRPr="00570B2D" w:rsidP="00570B2D">
      <w:pPr>
        <w:pStyle w:val="Heading1"/>
      </w:pPr>
      <w:bookmarkStart w:id="4" w:name="O_947358"/>
      <w:bookmarkEnd w:id="4"/>
      <w:r w:rsidRPr="00570B2D">
        <w:t>Assessment Conditions</w:t>
      </w:r>
    </w:p>
    <w:p w:rsidR="00000000" w:rsidRPr="00570B2D" w:rsidP="0024129A">
      <w:pPr>
        <w:pStyle w:val="Heading3"/>
      </w:pPr>
      <w:r w:rsidRPr="00570B2D">
        <w:t>Assessors must</w:t>
      </w:r>
    </w:p>
    <w:p w:rsidR="00000000" w:rsidRPr="00570B2D" w:rsidP="00570B2D">
      <w:pPr>
        <w:pStyle w:val="ListBullet2"/>
      </w:pPr>
      <w:r w:rsidRPr="00570B2D">
        <w:t xml:space="preserve">have vocational competency in planning, conducting and supervising a jewellery or object exhibition </w:t>
      </w:r>
      <w:r w:rsidRPr="00570B2D">
        <w:t>or program at least to the level being assessed with relevant industry knowledge and experience</w:t>
      </w:r>
    </w:p>
    <w:p w:rsidR="00000000" w:rsidRPr="00570B2D" w:rsidP="00570B2D">
      <w:pPr>
        <w:pStyle w:val="ListBullet2"/>
      </w:pPr>
      <w:r w:rsidRPr="00570B2D">
        <w:t xml:space="preserve">satisfy the assessor requirements in the </w:t>
      </w:r>
      <w:r w:rsidRPr="00570B2D">
        <w:rPr>
          <w:rStyle w:val="Emphasis"/>
        </w:rPr>
        <w:t xml:space="preserve">Standards for Registered Training Organisations 2015 </w:t>
      </w:r>
      <w:r w:rsidRPr="00570B2D">
        <w:t>or its replacement</w:t>
      </w:r>
      <w:r w:rsidRPr="00570B2D">
        <w:rPr>
          <w:rStyle w:val="Emphasis"/>
        </w:rPr>
        <w:t xml:space="preserve"> </w:t>
      </w:r>
      <w:r w:rsidRPr="00570B2D">
        <w:t xml:space="preserve">and comply with the </w:t>
      </w:r>
      <w:r w:rsidRPr="00570B2D">
        <w:rPr>
          <w:rStyle w:val="Emphasis"/>
        </w:rPr>
        <w:t>National Vocational Educati</w:t>
      </w:r>
      <w:r w:rsidRPr="00570B2D">
        <w:rPr>
          <w:rStyle w:val="Emphasis"/>
        </w:rPr>
        <w:t xml:space="preserve">on and Training Regulator Act 2011, </w:t>
      </w:r>
      <w:r w:rsidRPr="00570B2D">
        <w:t>its replacement</w:t>
      </w:r>
      <w:r w:rsidRPr="00570B2D">
        <w:rPr>
          <w:rStyle w:val="Emphasis"/>
        </w:rPr>
        <w:t xml:space="preserve"> </w:t>
      </w:r>
      <w:r w:rsidRPr="00570B2D">
        <w:t>or equivalent legislation covering VET regulation in a non-referring state/territory as the case requires.</w:t>
      </w:r>
    </w:p>
    <w:p w:rsidR="00000000" w:rsidRPr="00570B2D" w:rsidP="00570B2D">
      <w:pPr>
        <w:pStyle w:val="ListBullet"/>
      </w:pPr>
      <w:r w:rsidRPr="00570B2D">
        <w:t>Where possible, assessment must occur in operational workplace situations. Where this is not pos</w:t>
      </w:r>
      <w:r w:rsidRPr="00570B2D">
        <w:t>sible or where personal safety or environmental damage are limiting factors, assessment must occur in a sufficiently rigorous simulated environment that reflects realistic operational workplace conditions. This must cover all aspects of workplace performan</w:t>
      </w:r>
      <w:r w:rsidRPr="00570B2D">
        <w:t>ce, including environment, task skills, task management skills, contingency management skills and job role environment skills.</w:t>
      </w:r>
    </w:p>
    <w:p w:rsidR="00000000" w:rsidRPr="00570B2D" w:rsidP="00570B2D">
      <w:pPr>
        <w:pStyle w:val="ListBullet"/>
      </w:pPr>
      <w:r w:rsidRPr="00570B2D">
        <w:t>Conditions for assessment must include access to all tools, equipment, materials and documentation required, including relevant w</w:t>
      </w:r>
      <w:r w:rsidRPr="00570B2D">
        <w:t>orkplace procedures, product and manufacturing specifications.</w:t>
      </w:r>
    </w:p>
    <w:p w:rsidR="0024129A" w:rsidP="00570B2D">
      <w:pPr>
        <w:pStyle w:val="ListBullet"/>
      </w:pPr>
      <w:r w:rsidRPr="00570B2D">
        <w:t>Assessment processes and techniques must be appropriate to the language, literacy and numeracy requirements of the work being performed and the needs of the candidate.</w:t>
      </w:r>
    </w:p>
    <w:p w:rsidR="0024129A" w:rsidP="00570B2D">
      <w:pPr>
        <w:pStyle w:val="ListBullet"/>
      </w:pPr>
    </w:p>
    <w:p w:rsidR="00000000" w:rsidRPr="00570B2D" w:rsidP="00570B2D">
      <w:pPr>
        <w:pStyle w:val="Heading1"/>
      </w:pPr>
      <w:bookmarkStart w:id="5" w:name="O_947356"/>
      <w:bookmarkEnd w:id="5"/>
      <w:r w:rsidRPr="00570B2D">
        <w:t>Links</w:t>
      </w:r>
    </w:p>
    <w:p w:rsidR="00000000" w:rsidRPr="00570B2D" w:rsidP="0024129A">
      <w:pPr>
        <w:pStyle w:val="BodyText"/>
      </w:pPr>
      <w:r w:rsidRPr="00570B2D">
        <w:t>C</w:t>
      </w:r>
      <w:r w:rsidRPr="00570B2D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62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0B2D" w:rsidP="00570B2D"/>
    <w:sectPr w:rsidSect="00570B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2D" w:rsidRPr="0024129A" w:rsidP="00241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9A" w:rsidP="00570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29A" w:rsidP="00570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129A" w:rsidP="00570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B2D" w:rsidRPr="0024129A" w:rsidP="00241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29A" w:rsidRPr="002D2AF8" w:rsidP="00570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MEM19039 Plan, conduct and supervise a jewellery or object exhibition or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4129A" w:rsidP="00570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2F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C4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67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B2D"/>
  </w:style>
  <w:style w:type="character" w:customStyle="1" w:styleId="Heading1Char">
    <w:name w:val="Heading 1 Char"/>
    <w:basedOn w:val="DefaultParagraphFont"/>
    <w:link w:val="Heading1"/>
    <w:rsid w:val="00570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B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B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B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0B2D"/>
    <w:rPr>
      <w:i/>
    </w:rPr>
  </w:style>
  <w:style w:type="paragraph" w:customStyle="1" w:styleId="SuperHeading">
    <w:name w:val="SuperHeading"/>
    <w:basedOn w:val="Normal"/>
    <w:rsid w:val="00570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B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B2D"/>
    <w:rPr>
      <w:b/>
      <w:spacing w:val="0"/>
    </w:rPr>
  </w:style>
  <w:style w:type="paragraph" w:customStyle="1" w:styleId="SuperTitle">
    <w:name w:val="SuperTitle"/>
    <w:basedOn w:val="Title"/>
    <w:rsid w:val="00570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B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B2D"/>
  </w:style>
  <w:style w:type="paragraph" w:styleId="TableofFigures">
    <w:name w:val="table of figures"/>
    <w:basedOn w:val="Normal"/>
    <w:next w:val="Normal"/>
    <w:semiHidden/>
    <w:rsid w:val="00570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B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B2D"/>
    <w:rPr>
      <w:rFonts w:ascii="Wingdings" w:hAnsi="Wingdings"/>
    </w:rPr>
  </w:style>
  <w:style w:type="paragraph" w:customStyle="1" w:styleId="TableHeading">
    <w:name w:val="Table Heading"/>
    <w:basedOn w:val="HeadingBase"/>
    <w:rsid w:val="00570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B2D"/>
    <w:rPr>
      <w:color w:val="0033CC"/>
      <w:u w:val="none"/>
    </w:rPr>
  </w:style>
  <w:style w:type="paragraph" w:customStyle="1" w:styleId="BodyTextRight">
    <w:name w:val="Body Text Right"/>
    <w:basedOn w:val="BodyText"/>
    <w:rsid w:val="00570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B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B2D"/>
    <w:rPr>
      <w:sz w:val="32"/>
    </w:rPr>
  </w:style>
  <w:style w:type="paragraph" w:customStyle="1" w:styleId="HeadingProcedure">
    <w:name w:val="Heading Procedure"/>
    <w:basedOn w:val="HeadingBase"/>
    <w:next w:val="Normal"/>
    <w:rsid w:val="00570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B2D"/>
    <w:pPr>
      <w:spacing w:before="60" w:after="60"/>
    </w:pPr>
  </w:style>
  <w:style w:type="paragraph" w:styleId="ListContinue">
    <w:name w:val="List Continue"/>
    <w:basedOn w:val="List"/>
    <w:rsid w:val="00570B2D"/>
    <w:pPr>
      <w:ind w:firstLine="0"/>
    </w:pPr>
  </w:style>
  <w:style w:type="paragraph" w:customStyle="1" w:styleId="ListNote">
    <w:name w:val="List Note"/>
    <w:basedOn w:val="List"/>
    <w:rsid w:val="00570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B2D"/>
    <w:rPr>
      <w:rFonts w:ascii="Courier New" w:hAnsi="Courier New"/>
    </w:rPr>
  </w:style>
  <w:style w:type="paragraph" w:customStyle="1" w:styleId="NoteBullet">
    <w:name w:val="Note Bullet"/>
    <w:basedOn w:val="Note"/>
    <w:rsid w:val="00570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B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B2D"/>
    <w:rPr>
      <w:b/>
      <w:smallCaps/>
    </w:rPr>
  </w:style>
  <w:style w:type="paragraph" w:customStyle="1" w:styleId="TableListNumber">
    <w:name w:val="Table List Number"/>
    <w:basedOn w:val="ListNumber"/>
    <w:rsid w:val="00570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B2D"/>
    <w:pPr>
      <w:numPr>
        <w:numId w:val="9"/>
      </w:numPr>
    </w:pPr>
  </w:style>
  <w:style w:type="paragraph" w:customStyle="1" w:styleId="ListAlpha2">
    <w:name w:val="List Alpha 2"/>
    <w:basedOn w:val="List2"/>
    <w:rsid w:val="00570B2D"/>
    <w:pPr>
      <w:numPr>
        <w:numId w:val="8"/>
      </w:numPr>
    </w:pPr>
  </w:style>
  <w:style w:type="paragraph" w:styleId="List2">
    <w:name w:val="List 2"/>
    <w:basedOn w:val="BodyText"/>
    <w:rsid w:val="00570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B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B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B2D"/>
    <w:pPr>
      <w:numPr>
        <w:numId w:val="4"/>
      </w:numPr>
    </w:pPr>
  </w:style>
  <w:style w:type="paragraph" w:styleId="ListContinue2">
    <w:name w:val="List Continue 2"/>
    <w:basedOn w:val="List2"/>
    <w:rsid w:val="00570B2D"/>
    <w:pPr>
      <w:ind w:firstLine="0"/>
    </w:pPr>
  </w:style>
  <w:style w:type="paragraph" w:styleId="ListContinue3">
    <w:name w:val="List Continue 3"/>
    <w:basedOn w:val="List3"/>
    <w:rsid w:val="00570B2D"/>
    <w:pPr>
      <w:ind w:left="1021" w:firstLine="0"/>
    </w:pPr>
  </w:style>
  <w:style w:type="paragraph" w:styleId="ListContinue4">
    <w:name w:val="List Continue 4"/>
    <w:basedOn w:val="List4"/>
    <w:rsid w:val="00570B2D"/>
    <w:pPr>
      <w:ind w:firstLine="0"/>
    </w:pPr>
  </w:style>
  <w:style w:type="paragraph" w:styleId="ListContinue5">
    <w:name w:val="List Continue 5"/>
    <w:basedOn w:val="List5"/>
    <w:rsid w:val="00570B2D"/>
    <w:pPr>
      <w:ind w:firstLine="0"/>
    </w:pPr>
  </w:style>
  <w:style w:type="paragraph" w:styleId="ListNumber3">
    <w:name w:val="List Number 3"/>
    <w:basedOn w:val="List3"/>
    <w:rsid w:val="00570B2D"/>
    <w:pPr>
      <w:numPr>
        <w:numId w:val="5"/>
      </w:numPr>
    </w:pPr>
  </w:style>
  <w:style w:type="paragraph" w:styleId="ListNumber4">
    <w:name w:val="List Number 4"/>
    <w:basedOn w:val="List4"/>
    <w:rsid w:val="00570B2D"/>
    <w:pPr>
      <w:numPr>
        <w:numId w:val="6"/>
      </w:numPr>
    </w:pPr>
  </w:style>
  <w:style w:type="paragraph" w:styleId="ListNumber5">
    <w:name w:val="List Number 5"/>
    <w:basedOn w:val="List5"/>
    <w:rsid w:val="00570B2D"/>
    <w:pPr>
      <w:numPr>
        <w:numId w:val="7"/>
      </w:numPr>
    </w:pPr>
  </w:style>
  <w:style w:type="paragraph" w:styleId="BlockText">
    <w:name w:val="Block Text"/>
    <w:basedOn w:val="Normal"/>
    <w:rsid w:val="00570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B2D"/>
    <w:rPr>
      <w:sz w:val="16"/>
      <w:vertAlign w:val="superscript"/>
    </w:rPr>
  </w:style>
  <w:style w:type="character" w:customStyle="1" w:styleId="Symbols">
    <w:name w:val="Symbols"/>
    <w:basedOn w:val="DefaultParagraphFont"/>
    <w:rsid w:val="00570B2D"/>
    <w:rPr>
      <w:rFonts w:ascii="Symbol" w:hAnsi="Symbol"/>
    </w:rPr>
  </w:style>
  <w:style w:type="character" w:customStyle="1" w:styleId="MenuOptions">
    <w:name w:val="Menu Options"/>
    <w:basedOn w:val="DefaultParagraphFont"/>
    <w:rsid w:val="00570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B2D"/>
    <w:rPr>
      <w:b/>
    </w:rPr>
  </w:style>
  <w:style w:type="character" w:customStyle="1" w:styleId="Underlined">
    <w:name w:val="Underlined"/>
    <w:basedOn w:val="DefaultParagraphFont"/>
    <w:rsid w:val="00570B2D"/>
    <w:rPr>
      <w:u w:val="single"/>
    </w:rPr>
  </w:style>
  <w:style w:type="paragraph" w:customStyle="1" w:styleId="TableBodyTextRight">
    <w:name w:val="Table Body Text Right"/>
    <w:basedOn w:val="TableBodyText"/>
    <w:rsid w:val="00570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B2D"/>
    <w:rPr>
      <w:sz w:val="18"/>
    </w:rPr>
  </w:style>
  <w:style w:type="paragraph" w:customStyle="1" w:styleId="BodySmallRight">
    <w:name w:val="Body Small Right"/>
    <w:basedOn w:val="BodyTextRight"/>
    <w:rsid w:val="00570B2D"/>
    <w:rPr>
      <w:sz w:val="18"/>
      <w:szCs w:val="18"/>
    </w:rPr>
  </w:style>
  <w:style w:type="paragraph" w:customStyle="1" w:styleId="MarginEdition">
    <w:name w:val="Margin Edition"/>
    <w:basedOn w:val="MarginNote"/>
    <w:rsid w:val="00570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B2D"/>
    <w:rPr>
      <w:sz w:val="2"/>
      <w:szCs w:val="2"/>
    </w:rPr>
  </w:style>
  <w:style w:type="character" w:customStyle="1" w:styleId="Small">
    <w:name w:val="Small"/>
    <w:basedOn w:val="DefaultParagraphFont"/>
    <w:rsid w:val="00570B2D"/>
    <w:rPr>
      <w:sz w:val="16"/>
    </w:rPr>
  </w:style>
  <w:style w:type="paragraph" w:customStyle="1" w:styleId="WideTable">
    <w:name w:val="Wide Table"/>
    <w:basedOn w:val="Normal"/>
    <w:rsid w:val="00570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B2D"/>
  </w:style>
  <w:style w:type="paragraph" w:styleId="Quote">
    <w:name w:val="Quote"/>
    <w:basedOn w:val="Heading1"/>
    <w:link w:val="QuoteChar"/>
    <w:qFormat/>
    <w:rsid w:val="00570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B2D"/>
    <w:pPr>
      <w:pageBreakBefore/>
    </w:pPr>
  </w:style>
  <w:style w:type="paragraph" w:customStyle="1" w:styleId="Border">
    <w:name w:val="Border"/>
    <w:basedOn w:val="Normal"/>
    <w:qFormat/>
    <w:rsid w:val="00570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B2D"/>
    <w:rPr>
      <w:u w:val="single"/>
    </w:rPr>
  </w:style>
  <w:style w:type="character" w:customStyle="1" w:styleId="BoldandItalics">
    <w:name w:val="Bold and Italics"/>
    <w:qFormat/>
    <w:rsid w:val="00570B2D"/>
    <w:rPr>
      <w:b/>
      <w:i/>
      <w:u w:val="none"/>
    </w:rPr>
  </w:style>
  <w:style w:type="paragraph" w:styleId="BalloonText">
    <w:name w:val="Balloon Text"/>
    <w:basedOn w:val="Normal"/>
    <w:link w:val="BalloonTextChar"/>
    <w:rsid w:val="00570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B2D"/>
    <w:pPr>
      <w:spacing w:before="0" w:after="0"/>
    </w:pPr>
  </w:style>
  <w:style w:type="paragraph" w:customStyle="1" w:styleId="BodyTextBold">
    <w:name w:val="Body Text Bold"/>
    <w:basedOn w:val="BodyText"/>
    <w:qFormat/>
    <w:rsid w:val="00570B2D"/>
    <w:rPr>
      <w:b/>
    </w:rPr>
  </w:style>
  <w:style w:type="character" w:styleId="Hyperlink">
    <w:name w:val="Hyperlink"/>
    <w:basedOn w:val="DefaultParagraphFont"/>
    <w:uiPriority w:val="99"/>
    <w:unhideWhenUsed/>
    <w:rsid w:val="00241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3697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MEM19039 Plan, conduct and supervise a jewellery or object exhibition or program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