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344" w:rsidP="00957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MEM19036 Use specialised techniques to produce jewellery or objects</w:t>
      </w:r>
      <w:r>
        <w:fldChar w:fldCharType="end"/>
      </w:r>
    </w:p>
    <w:p w:rsidR="00957344" w:rsidP="00957344">
      <w:pPr>
        <w:pStyle w:val="Version"/>
        <w:sectPr w:rsidSect="003A0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A15" w:rsidP="003A0A15">
      <w:pPr>
        <w:pStyle w:val="SuperHeading"/>
      </w:pPr>
      <w:r w:rsidRPr="003A0A15">
        <w:t>Assessment Requirements for MEM19036 Use specialised techniques to produce jewellery or objects</w:t>
      </w:r>
    </w:p>
    <w:p w:rsidR="00000000" w:rsidRPr="003A0A15" w:rsidP="003A0A15">
      <w:pPr>
        <w:pStyle w:val="Heading1"/>
      </w:pPr>
      <w:bookmarkStart w:id="1" w:name="O_947300"/>
      <w:bookmarkEnd w:id="1"/>
      <w:r w:rsidRPr="003A0A15">
        <w:t>Modification History</w:t>
      </w:r>
    </w:p>
    <w:p w:rsidR="00957344" w:rsidP="00957344">
      <w:pPr>
        <w:pStyle w:val="BodyText"/>
      </w:pPr>
      <w:r w:rsidRPr="003A0A15">
        <w:t>Release 1. Supersedes and is equivalent to MEM19036A Use specialised techniques to produce jewellery and objects.</w:t>
      </w:r>
    </w:p>
    <w:p w:rsidR="00000000" w:rsidRPr="003A0A15" w:rsidP="003A0A15">
      <w:pPr>
        <w:pStyle w:val="Heading1"/>
      </w:pPr>
      <w:bookmarkStart w:id="2" w:name="O_947303"/>
      <w:bookmarkEnd w:id="2"/>
      <w:r w:rsidRPr="003A0A15">
        <w:t>Performance Evidence</w:t>
      </w:r>
    </w:p>
    <w:p w:rsidR="00000000" w:rsidRPr="003A0A15" w:rsidP="00957344">
      <w:pPr>
        <w:pStyle w:val="BodyText"/>
      </w:pPr>
      <w:r w:rsidRPr="003A0A15">
        <w:t>Evidence required to demonstrate competence in this unit must be relevant to and satisfy the requirements of the elements and performance criteria and include:</w:t>
      </w:r>
    </w:p>
    <w:p w:rsidR="00000000" w:rsidRPr="003A0A15" w:rsidP="003A0A15">
      <w:pPr>
        <w:pStyle w:val="ListBullet"/>
      </w:pPr>
      <w:r w:rsidRPr="003A0A15">
        <w:t>following work instructions, standard operating procedures</w:t>
      </w:r>
      <w:r w:rsidRPr="003A0A15">
        <w:t xml:space="preserve"> (SOPs) and safe work practices</w:t>
      </w:r>
    </w:p>
    <w:p w:rsidR="00000000" w:rsidRPr="003A0A15" w:rsidP="003A0A15">
      <w:pPr>
        <w:pStyle w:val="ListBullet"/>
      </w:pPr>
      <w:r w:rsidRPr="003A0A15">
        <w:t xml:space="preserve">determining the appropriate specialised technique to produce jewellery or objects in accordance with specifications </w:t>
      </w:r>
    </w:p>
    <w:p w:rsidR="00000000" w:rsidRPr="003A0A15" w:rsidP="003A0A15">
      <w:pPr>
        <w:pStyle w:val="ListBullet"/>
      </w:pPr>
      <w:r w:rsidRPr="003A0A15">
        <w:t xml:space="preserve">selecting appropriate materials and calculating and measuring the material quantities </w:t>
      </w:r>
    </w:p>
    <w:p w:rsidR="00000000" w:rsidRPr="003A0A15" w:rsidP="003A0A15">
      <w:pPr>
        <w:pStyle w:val="ListBullet"/>
      </w:pPr>
      <w:r w:rsidRPr="003A0A15">
        <w:t>applying appropriate</w:t>
      </w:r>
      <w:r w:rsidRPr="003A0A15">
        <w:t xml:space="preserve"> production and finishing techniques on at least two occasions</w:t>
      </w:r>
    </w:p>
    <w:p w:rsidR="00000000" w:rsidRPr="003A0A15" w:rsidP="003A0A15">
      <w:pPr>
        <w:pStyle w:val="ListBullet"/>
      </w:pPr>
      <w:r w:rsidRPr="003A0A15">
        <w:t xml:space="preserve">identifying faults or problems and taking remedial action </w:t>
      </w:r>
    </w:p>
    <w:p w:rsidR="00000000" w:rsidRPr="003A0A15" w:rsidP="003A0A15">
      <w:pPr>
        <w:pStyle w:val="ListBullet"/>
      </w:pPr>
      <w:r w:rsidRPr="003A0A15">
        <w:t xml:space="preserve">verifying work complies with design specifications and applying appropriate finishing requirements </w:t>
      </w:r>
    </w:p>
    <w:p w:rsidR="00000000" w:rsidRPr="003A0A15" w:rsidP="003A0A15">
      <w:pPr>
        <w:pStyle w:val="ListBullet"/>
      </w:pPr>
      <w:r w:rsidRPr="003A0A15">
        <w:t>preparing piece for presentation.</w:t>
      </w:r>
    </w:p>
    <w:p w:rsidR="00000000" w:rsidRPr="003A0A15" w:rsidP="003A0A15">
      <w:pPr>
        <w:pStyle w:val="BodyText"/>
      </w:pPr>
    </w:p>
    <w:p w:rsidR="00957344" w:rsidRPr="00957344" w:rsidP="00957344">
      <w:pPr>
        <w:pStyle w:val="BodyText"/>
        <w:rPr>
          <w:i/>
        </w:rPr>
      </w:pPr>
      <w:r w:rsidRPr="00957344">
        <w:rPr>
          <w:rStyle w:val="Emphasis"/>
        </w:rPr>
        <w:t>Note: Where a volume and/or frequency is not specified, demonstration must be provided at least once.</w:t>
      </w:r>
    </w:p>
    <w:p w:rsidR="00000000" w:rsidRPr="003A0A15" w:rsidP="003A0A15">
      <w:pPr>
        <w:pStyle w:val="Heading1"/>
      </w:pPr>
      <w:bookmarkStart w:id="3" w:name="O_947302"/>
      <w:bookmarkEnd w:id="3"/>
      <w:r w:rsidRPr="003A0A15">
        <w:t>Knowledge Evidence</w:t>
      </w:r>
    </w:p>
    <w:p w:rsidR="00000000" w:rsidRPr="003A0A15" w:rsidP="00957344">
      <w:pPr>
        <w:pStyle w:val="BodyText"/>
      </w:pPr>
      <w:r w:rsidRPr="003A0A15">
        <w:t>Evidence required to demonstrate the required knowledge for this unit must be relevant to and satisfy the requiremen</w:t>
      </w:r>
      <w:r w:rsidRPr="003A0A15">
        <w:t>ts of the elements and performance criteria and include knowledge of:</w:t>
      </w:r>
    </w:p>
    <w:p w:rsidR="00000000" w:rsidRPr="003A0A15" w:rsidP="003A0A15">
      <w:pPr>
        <w:pStyle w:val="ListBullet"/>
      </w:pPr>
      <w:r w:rsidRPr="003A0A15">
        <w:t>safe work practices and procedures and use of personal protective equipment (PPE)</w:t>
      </w:r>
    </w:p>
    <w:p w:rsidR="00000000" w:rsidRPr="003A0A15" w:rsidP="003A0A15">
      <w:pPr>
        <w:pStyle w:val="ListBullet"/>
      </w:pPr>
      <w:r w:rsidRPr="003A0A15">
        <w:t>production plan requirements</w:t>
      </w:r>
    </w:p>
    <w:p w:rsidR="00000000" w:rsidRPr="003A0A15" w:rsidP="003A0A15">
      <w:pPr>
        <w:pStyle w:val="ListBullet"/>
      </w:pPr>
      <w:r w:rsidRPr="003A0A15">
        <w:t>range and uses of specialised techniques</w:t>
      </w:r>
    </w:p>
    <w:p w:rsidR="00000000" w:rsidRPr="003A0A15" w:rsidP="003A0A15">
      <w:pPr>
        <w:pStyle w:val="ListBullet"/>
      </w:pPr>
      <w:r w:rsidRPr="003A0A15">
        <w:t>range and uses of equipment</w:t>
      </w:r>
    </w:p>
    <w:p w:rsidR="00000000" w:rsidRPr="003A0A15" w:rsidP="003A0A15">
      <w:pPr>
        <w:pStyle w:val="ListBullet"/>
      </w:pPr>
      <w:r w:rsidRPr="003A0A15">
        <w:t>calculations and measurements</w:t>
      </w:r>
    </w:p>
    <w:p w:rsidR="00000000" w:rsidRPr="003A0A15" w:rsidP="003A0A15">
      <w:pPr>
        <w:pStyle w:val="ListBullet"/>
      </w:pPr>
      <w:r w:rsidRPr="003A0A15">
        <w:t>reasons for selecting particular metals, construction methods, manufacturing and finishing techniques</w:t>
      </w:r>
    </w:p>
    <w:p w:rsidR="00000000" w:rsidRPr="003A0A15" w:rsidP="003A0A15">
      <w:pPr>
        <w:pStyle w:val="ListBullet"/>
      </w:pPr>
      <w:r w:rsidRPr="003A0A15">
        <w:t>tools and equipment matched to processes</w:t>
      </w:r>
    </w:p>
    <w:p w:rsidR="00000000" w:rsidRPr="003A0A15" w:rsidP="003A0A15">
      <w:pPr>
        <w:pStyle w:val="ListBullet"/>
      </w:pPr>
      <w:r w:rsidRPr="003A0A15">
        <w:t>planning and process stages</w:t>
      </w:r>
    </w:p>
    <w:p w:rsidR="00000000" w:rsidRPr="003A0A15" w:rsidP="003A0A15">
      <w:pPr>
        <w:pStyle w:val="ListBullet"/>
      </w:pPr>
      <w:r w:rsidRPr="003A0A15">
        <w:t>types and working properties of precious and non-precio</w:t>
      </w:r>
      <w:r w:rsidRPr="003A0A15">
        <w:t>us metals and other materials</w:t>
      </w:r>
    </w:p>
    <w:p w:rsidR="00000000" w:rsidRPr="003A0A15" w:rsidP="003A0A15">
      <w:pPr>
        <w:pStyle w:val="ListBullet"/>
      </w:pPr>
      <w:r w:rsidRPr="003A0A15">
        <w:t>fine detail manufacturing processes</w:t>
      </w:r>
    </w:p>
    <w:p w:rsidR="00000000" w:rsidRPr="003A0A15" w:rsidP="003A0A15">
      <w:pPr>
        <w:pStyle w:val="ListBullet"/>
      </w:pPr>
      <w:r w:rsidRPr="003A0A15">
        <w:t>components of items being produced</w:t>
      </w:r>
    </w:p>
    <w:p w:rsidR="00000000" w:rsidRPr="003A0A15" w:rsidP="003A0A15">
      <w:pPr>
        <w:pStyle w:val="ListBullet"/>
      </w:pPr>
      <w:r w:rsidRPr="003A0A15">
        <w:t>measuring devices and recording methods</w:t>
      </w:r>
    </w:p>
    <w:p w:rsidR="00000000" w:rsidRPr="003A0A15" w:rsidP="003A0A15">
      <w:pPr>
        <w:pStyle w:val="ListBullet"/>
      </w:pPr>
      <w:r w:rsidRPr="003A0A15">
        <w:t xml:space="preserve">procedures for final treatment </w:t>
      </w:r>
    </w:p>
    <w:p w:rsidR="00000000" w:rsidRPr="003A0A15" w:rsidP="003A0A15">
      <w:pPr>
        <w:pStyle w:val="ListBullet"/>
      </w:pPr>
      <w:r w:rsidRPr="003A0A15">
        <w:t>environmental considerations related to producing jewellery or objects</w:t>
      </w:r>
    </w:p>
    <w:p w:rsidR="00957344" w:rsidP="003A0A15">
      <w:pPr>
        <w:pStyle w:val="ListBullet"/>
      </w:pPr>
      <w:r w:rsidRPr="003A0A15">
        <w:t>safe handlin</w:t>
      </w:r>
      <w:r w:rsidRPr="003A0A15">
        <w:t>g and storage of items.</w:t>
      </w:r>
    </w:p>
    <w:p w:rsidR="00957344" w:rsidP="003A0A15">
      <w:pPr>
        <w:pStyle w:val="ListBullet"/>
      </w:pPr>
    </w:p>
    <w:p w:rsidR="00000000" w:rsidRPr="003A0A15" w:rsidP="003A0A15">
      <w:pPr>
        <w:pStyle w:val="Heading1"/>
      </w:pPr>
      <w:bookmarkStart w:id="4" w:name="O_947301"/>
      <w:bookmarkEnd w:id="4"/>
      <w:r w:rsidRPr="003A0A15">
        <w:t>Assessment Conditions</w:t>
      </w:r>
    </w:p>
    <w:p w:rsidR="00000000" w:rsidRPr="003A0A15" w:rsidP="003A0A15">
      <w:pPr>
        <w:pStyle w:val="ListBullet"/>
      </w:pPr>
      <w:r w:rsidRPr="003A0A15">
        <w:t>Assessors must:</w:t>
      </w:r>
    </w:p>
    <w:p w:rsidR="00000000" w:rsidRPr="003A0A15" w:rsidP="003A0A15">
      <w:pPr>
        <w:pStyle w:val="ListBullet2"/>
      </w:pPr>
      <w:r w:rsidRPr="003A0A15">
        <w:t>have vocational competency in using specialised techniques to produce jewellery or objects at least to the level being assessed with relevant industry knowledge and experienc</w:t>
      </w:r>
      <w:r w:rsidRPr="003A0A15">
        <w:t>e</w:t>
      </w:r>
    </w:p>
    <w:p w:rsidR="00000000" w:rsidRPr="003A0A15" w:rsidP="003A0A15">
      <w:pPr>
        <w:pStyle w:val="ListBullet2"/>
      </w:pPr>
      <w:r w:rsidRPr="003A0A15">
        <w:t xml:space="preserve">satisfy the assessor requirements in the </w:t>
      </w:r>
      <w:r w:rsidRPr="003A0A15">
        <w:rPr>
          <w:rStyle w:val="Emphasis"/>
        </w:rPr>
        <w:t xml:space="preserve">Standards for Registered Training Organisations 2015 </w:t>
      </w:r>
      <w:r w:rsidRPr="003A0A15">
        <w:t>or its replacement</w:t>
      </w:r>
      <w:r w:rsidRPr="003A0A15">
        <w:rPr>
          <w:rStyle w:val="Emphasis"/>
        </w:rPr>
        <w:t xml:space="preserve"> </w:t>
      </w:r>
      <w:r w:rsidRPr="003A0A15">
        <w:t xml:space="preserve">and comply with the </w:t>
      </w:r>
      <w:r w:rsidRPr="003A0A15">
        <w:rPr>
          <w:rStyle w:val="Emphasis"/>
        </w:rPr>
        <w:t xml:space="preserve">National Vocational Education and Training Regulator Act 2011, </w:t>
      </w:r>
      <w:r w:rsidRPr="003A0A15">
        <w:t>its replacement</w:t>
      </w:r>
      <w:r w:rsidRPr="003A0A15">
        <w:rPr>
          <w:rStyle w:val="Emphasis"/>
        </w:rPr>
        <w:t xml:space="preserve"> </w:t>
      </w:r>
      <w:r w:rsidRPr="003A0A15">
        <w:t>or equivalent legislation covering VET regulation in a non-referring state/territory as the case requires.</w:t>
      </w:r>
    </w:p>
    <w:p w:rsidR="00000000" w:rsidRPr="003A0A15" w:rsidP="003A0A15">
      <w:pPr>
        <w:pStyle w:val="ListBullet"/>
      </w:pPr>
      <w:r w:rsidRPr="003A0A15">
        <w:t>Where possible, assessment must occur in operational workplace situations. Where this is not possible or where personal safety or environmental dama</w:t>
      </w:r>
      <w:r w:rsidRPr="003A0A15">
        <w:t xml:space="preserve">ge </w:t>
      </w:r>
    </w:p>
    <w:p w:rsidR="00000000" w:rsidRPr="003A0A15" w:rsidP="003A0A15">
      <w:pPr>
        <w:pStyle w:val="ListBullet"/>
      </w:pPr>
      <w:r w:rsidRPr="003A0A15">
        <w:t>are limiting factors, assessment must occur in a sufficiently rigorous simulated environment that reflects realistic operational workplace conditions. This must cover all aspects of workplace performance, including environment, task skills, task manage</w:t>
      </w:r>
      <w:r w:rsidRPr="003A0A15">
        <w:t>ment skills, contingency management skills and job role environment skills.</w:t>
      </w:r>
    </w:p>
    <w:p w:rsidR="00000000" w:rsidRPr="003A0A15" w:rsidP="003A0A15">
      <w:pPr>
        <w:pStyle w:val="ListBullet"/>
      </w:pPr>
      <w:r w:rsidRPr="003A0A15">
        <w:t>Conditions for assessment must include access to all tools, equipment, materials and documentation required, including relevant workplace procedures, product and manufacturing spec</w:t>
      </w:r>
      <w:r w:rsidRPr="003A0A15">
        <w:t>ifications.</w:t>
      </w:r>
    </w:p>
    <w:p w:rsidR="00957344" w:rsidP="003A0A15">
      <w:pPr>
        <w:pStyle w:val="ListBullet"/>
      </w:pPr>
      <w:r w:rsidRPr="003A0A15">
        <w:t>Assessment processes and techniques must be appropriate to the language, literacy and numeracy requirements of the work being performed and the needs of the candidate.</w:t>
      </w:r>
    </w:p>
    <w:p w:rsidR="00957344" w:rsidP="003A0A15">
      <w:pPr>
        <w:pStyle w:val="ListBullet"/>
      </w:pPr>
    </w:p>
    <w:p w:rsidR="00000000" w:rsidRPr="003A0A15" w:rsidP="003A0A15">
      <w:pPr>
        <w:pStyle w:val="Heading1"/>
      </w:pPr>
      <w:bookmarkStart w:id="5" w:name="O_947299"/>
      <w:bookmarkEnd w:id="5"/>
      <w:r w:rsidRPr="003A0A15">
        <w:t>Links</w:t>
      </w:r>
    </w:p>
    <w:p w:rsidR="00000000" w:rsidRPr="003A0A15" w:rsidP="00957344">
      <w:pPr>
        <w:pStyle w:val="BodyText"/>
      </w:pPr>
      <w:r w:rsidRPr="003A0A15">
        <w:t xml:space="preserve">Companion Volume implementation guides are found in </w:t>
      </w:r>
      <w:r w:rsidRPr="003A0A15">
        <w:t xml:space="preserve">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96A0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A0A15" w:rsidP="003A0A15"/>
    <w:sectPr w:rsidSect="003A0A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15" w:rsidRPr="00957344" w:rsidP="00957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44" w:rsidP="003A0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344" w:rsidP="003A0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7344" w:rsidP="003A0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A15" w:rsidRPr="00957344" w:rsidP="00957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44" w:rsidRPr="002D2AF8" w:rsidP="003A0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MEM19036 Use specialised techniques to produce jewellery or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57344" w:rsidP="003A0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83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0AD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20F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A15"/>
  </w:style>
  <w:style w:type="character" w:customStyle="1" w:styleId="Heading1Char">
    <w:name w:val="Heading 1 Char"/>
    <w:basedOn w:val="DefaultParagraphFont"/>
    <w:link w:val="Heading1"/>
    <w:rsid w:val="003A0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A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0A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0A15"/>
    <w:rPr>
      <w:i/>
    </w:rPr>
  </w:style>
  <w:style w:type="paragraph" w:customStyle="1" w:styleId="SuperHeading">
    <w:name w:val="SuperHeading"/>
    <w:basedOn w:val="Normal"/>
    <w:rsid w:val="003A0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A15"/>
    <w:rPr>
      <w:b/>
      <w:spacing w:val="0"/>
    </w:rPr>
  </w:style>
  <w:style w:type="paragraph" w:customStyle="1" w:styleId="SuperTitle">
    <w:name w:val="SuperTitle"/>
    <w:basedOn w:val="Title"/>
    <w:rsid w:val="003A0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A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A15"/>
  </w:style>
  <w:style w:type="paragraph" w:styleId="TableofFigures">
    <w:name w:val="table of figures"/>
    <w:basedOn w:val="Normal"/>
    <w:next w:val="Normal"/>
    <w:semiHidden/>
    <w:rsid w:val="003A0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A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0A15"/>
    <w:rPr>
      <w:rFonts w:ascii="Wingdings" w:hAnsi="Wingdings"/>
    </w:rPr>
  </w:style>
  <w:style w:type="paragraph" w:customStyle="1" w:styleId="TableHeading">
    <w:name w:val="Table Heading"/>
    <w:basedOn w:val="HeadingBase"/>
    <w:rsid w:val="003A0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A15"/>
    <w:rPr>
      <w:color w:val="0033CC"/>
      <w:u w:val="none"/>
    </w:rPr>
  </w:style>
  <w:style w:type="paragraph" w:customStyle="1" w:styleId="BodyTextRight">
    <w:name w:val="Body Text Right"/>
    <w:basedOn w:val="BodyText"/>
    <w:rsid w:val="003A0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A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A15"/>
    <w:rPr>
      <w:sz w:val="32"/>
    </w:rPr>
  </w:style>
  <w:style w:type="paragraph" w:customStyle="1" w:styleId="HeadingProcedure">
    <w:name w:val="Heading Procedure"/>
    <w:basedOn w:val="HeadingBase"/>
    <w:next w:val="Normal"/>
    <w:rsid w:val="003A0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A15"/>
    <w:pPr>
      <w:spacing w:before="60" w:after="60"/>
    </w:pPr>
  </w:style>
  <w:style w:type="paragraph" w:styleId="ListContinue">
    <w:name w:val="List Continue"/>
    <w:basedOn w:val="List"/>
    <w:rsid w:val="003A0A15"/>
    <w:pPr>
      <w:ind w:firstLine="0"/>
    </w:pPr>
  </w:style>
  <w:style w:type="paragraph" w:customStyle="1" w:styleId="ListNote">
    <w:name w:val="List Note"/>
    <w:basedOn w:val="List"/>
    <w:rsid w:val="003A0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A15"/>
    <w:rPr>
      <w:rFonts w:ascii="Courier New" w:hAnsi="Courier New"/>
    </w:rPr>
  </w:style>
  <w:style w:type="paragraph" w:customStyle="1" w:styleId="NoteBullet">
    <w:name w:val="Note Bullet"/>
    <w:basedOn w:val="Note"/>
    <w:rsid w:val="003A0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A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0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A15"/>
    <w:rPr>
      <w:b/>
      <w:smallCaps/>
    </w:rPr>
  </w:style>
  <w:style w:type="paragraph" w:customStyle="1" w:styleId="TableListNumber">
    <w:name w:val="Table List Number"/>
    <w:basedOn w:val="ListNumber"/>
    <w:rsid w:val="003A0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A15"/>
    <w:pPr>
      <w:numPr>
        <w:numId w:val="9"/>
      </w:numPr>
    </w:pPr>
  </w:style>
  <w:style w:type="paragraph" w:customStyle="1" w:styleId="ListAlpha2">
    <w:name w:val="List Alpha 2"/>
    <w:basedOn w:val="List2"/>
    <w:rsid w:val="003A0A15"/>
    <w:pPr>
      <w:numPr>
        <w:numId w:val="8"/>
      </w:numPr>
    </w:pPr>
  </w:style>
  <w:style w:type="paragraph" w:styleId="List2">
    <w:name w:val="List 2"/>
    <w:basedOn w:val="BodyText"/>
    <w:rsid w:val="003A0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A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A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0A15"/>
    <w:pPr>
      <w:numPr>
        <w:numId w:val="4"/>
      </w:numPr>
    </w:pPr>
  </w:style>
  <w:style w:type="paragraph" w:styleId="ListContinue2">
    <w:name w:val="List Continue 2"/>
    <w:basedOn w:val="List2"/>
    <w:rsid w:val="003A0A15"/>
    <w:pPr>
      <w:ind w:firstLine="0"/>
    </w:pPr>
  </w:style>
  <w:style w:type="paragraph" w:styleId="ListContinue3">
    <w:name w:val="List Continue 3"/>
    <w:basedOn w:val="List3"/>
    <w:rsid w:val="003A0A15"/>
    <w:pPr>
      <w:ind w:left="1021" w:firstLine="0"/>
    </w:pPr>
  </w:style>
  <w:style w:type="paragraph" w:styleId="ListContinue4">
    <w:name w:val="List Continue 4"/>
    <w:basedOn w:val="List4"/>
    <w:rsid w:val="003A0A15"/>
    <w:pPr>
      <w:ind w:firstLine="0"/>
    </w:pPr>
  </w:style>
  <w:style w:type="paragraph" w:styleId="ListContinue5">
    <w:name w:val="List Continue 5"/>
    <w:basedOn w:val="List5"/>
    <w:rsid w:val="003A0A15"/>
    <w:pPr>
      <w:ind w:firstLine="0"/>
    </w:pPr>
  </w:style>
  <w:style w:type="paragraph" w:styleId="ListNumber3">
    <w:name w:val="List Number 3"/>
    <w:basedOn w:val="List3"/>
    <w:rsid w:val="003A0A15"/>
    <w:pPr>
      <w:numPr>
        <w:numId w:val="5"/>
      </w:numPr>
    </w:pPr>
  </w:style>
  <w:style w:type="paragraph" w:styleId="ListNumber4">
    <w:name w:val="List Number 4"/>
    <w:basedOn w:val="List4"/>
    <w:rsid w:val="003A0A15"/>
    <w:pPr>
      <w:numPr>
        <w:numId w:val="6"/>
      </w:numPr>
    </w:pPr>
  </w:style>
  <w:style w:type="paragraph" w:styleId="ListNumber5">
    <w:name w:val="List Number 5"/>
    <w:basedOn w:val="List5"/>
    <w:rsid w:val="003A0A15"/>
    <w:pPr>
      <w:numPr>
        <w:numId w:val="7"/>
      </w:numPr>
    </w:pPr>
  </w:style>
  <w:style w:type="paragraph" w:styleId="BlockText">
    <w:name w:val="Block Text"/>
    <w:basedOn w:val="Normal"/>
    <w:rsid w:val="003A0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A15"/>
    <w:rPr>
      <w:sz w:val="16"/>
      <w:vertAlign w:val="superscript"/>
    </w:rPr>
  </w:style>
  <w:style w:type="character" w:customStyle="1" w:styleId="Symbols">
    <w:name w:val="Symbols"/>
    <w:basedOn w:val="DefaultParagraphFont"/>
    <w:rsid w:val="003A0A15"/>
    <w:rPr>
      <w:rFonts w:ascii="Symbol" w:hAnsi="Symbol"/>
    </w:rPr>
  </w:style>
  <w:style w:type="character" w:customStyle="1" w:styleId="MenuOptions">
    <w:name w:val="Menu Options"/>
    <w:basedOn w:val="DefaultParagraphFont"/>
    <w:rsid w:val="003A0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A15"/>
    <w:rPr>
      <w:b/>
    </w:rPr>
  </w:style>
  <w:style w:type="character" w:customStyle="1" w:styleId="Underlined">
    <w:name w:val="Underlined"/>
    <w:basedOn w:val="DefaultParagraphFont"/>
    <w:rsid w:val="003A0A15"/>
    <w:rPr>
      <w:u w:val="single"/>
    </w:rPr>
  </w:style>
  <w:style w:type="paragraph" w:customStyle="1" w:styleId="TableBodyTextRight">
    <w:name w:val="Table Body Text Right"/>
    <w:basedOn w:val="TableBodyText"/>
    <w:rsid w:val="003A0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A15"/>
    <w:rPr>
      <w:sz w:val="18"/>
    </w:rPr>
  </w:style>
  <w:style w:type="paragraph" w:customStyle="1" w:styleId="BodySmallRight">
    <w:name w:val="Body Small Right"/>
    <w:basedOn w:val="BodyTextRight"/>
    <w:rsid w:val="003A0A15"/>
    <w:rPr>
      <w:sz w:val="18"/>
      <w:szCs w:val="18"/>
    </w:rPr>
  </w:style>
  <w:style w:type="paragraph" w:customStyle="1" w:styleId="MarginEdition">
    <w:name w:val="Margin Edition"/>
    <w:basedOn w:val="MarginNote"/>
    <w:rsid w:val="003A0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A15"/>
    <w:rPr>
      <w:sz w:val="2"/>
      <w:szCs w:val="2"/>
    </w:rPr>
  </w:style>
  <w:style w:type="character" w:customStyle="1" w:styleId="Small">
    <w:name w:val="Small"/>
    <w:basedOn w:val="DefaultParagraphFont"/>
    <w:rsid w:val="003A0A15"/>
    <w:rPr>
      <w:sz w:val="16"/>
    </w:rPr>
  </w:style>
  <w:style w:type="paragraph" w:customStyle="1" w:styleId="WideTable">
    <w:name w:val="Wide Table"/>
    <w:basedOn w:val="Normal"/>
    <w:rsid w:val="003A0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A15"/>
  </w:style>
  <w:style w:type="paragraph" w:styleId="Quote">
    <w:name w:val="Quote"/>
    <w:basedOn w:val="Heading1"/>
    <w:link w:val="QuoteChar"/>
    <w:qFormat/>
    <w:rsid w:val="003A0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A15"/>
    <w:pPr>
      <w:pageBreakBefore/>
    </w:pPr>
  </w:style>
  <w:style w:type="paragraph" w:customStyle="1" w:styleId="Border">
    <w:name w:val="Border"/>
    <w:basedOn w:val="Normal"/>
    <w:qFormat/>
    <w:rsid w:val="003A0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A15"/>
    <w:rPr>
      <w:u w:val="single"/>
    </w:rPr>
  </w:style>
  <w:style w:type="character" w:customStyle="1" w:styleId="BoldandItalics">
    <w:name w:val="Bold and Italics"/>
    <w:qFormat/>
    <w:rsid w:val="003A0A15"/>
    <w:rPr>
      <w:b/>
      <w:i/>
      <w:u w:val="none"/>
    </w:rPr>
  </w:style>
  <w:style w:type="paragraph" w:styleId="BalloonText">
    <w:name w:val="Balloon Text"/>
    <w:basedOn w:val="Normal"/>
    <w:link w:val="BalloonTextChar"/>
    <w:rsid w:val="003A0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A15"/>
    <w:pPr>
      <w:spacing w:before="0" w:after="0"/>
    </w:pPr>
  </w:style>
  <w:style w:type="paragraph" w:customStyle="1" w:styleId="BodyTextBold">
    <w:name w:val="Body Text Bold"/>
    <w:basedOn w:val="BodyText"/>
    <w:qFormat/>
    <w:rsid w:val="003A0A15"/>
    <w:rPr>
      <w:b/>
    </w:rPr>
  </w:style>
  <w:style w:type="character" w:styleId="Hyperlink">
    <w:name w:val="Hyperlink"/>
    <w:basedOn w:val="DefaultParagraphFont"/>
    <w:uiPriority w:val="99"/>
    <w:unhideWhenUsed/>
    <w:rsid w:val="00957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3321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MEM19036 Use specialised techniques to produce jewellery or objects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