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3BD" w:rsidP="00054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MEM19034 Apply chain manufacture process</w:t>
      </w:r>
      <w:r>
        <w:fldChar w:fldCharType="end"/>
      </w:r>
    </w:p>
    <w:p w:rsidR="000543BD" w:rsidP="000543BD">
      <w:pPr>
        <w:pStyle w:val="Version"/>
        <w:sectPr w:rsidSect="00CA6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88D" w:rsidP="00CA688D">
      <w:pPr>
        <w:pStyle w:val="SuperHeading"/>
      </w:pPr>
      <w:r w:rsidRPr="00CA688D">
        <w:t>Assessment Requirements for MEM19034 Apply chain manufacture process</w:t>
      </w:r>
    </w:p>
    <w:p w:rsidR="00000000" w:rsidRPr="00CA688D" w:rsidP="00CA688D">
      <w:pPr>
        <w:pStyle w:val="Heading1"/>
      </w:pPr>
      <w:bookmarkStart w:id="1" w:name="O_947262"/>
      <w:bookmarkEnd w:id="1"/>
      <w:r w:rsidRPr="00CA688D">
        <w:t>Modification History</w:t>
      </w:r>
    </w:p>
    <w:p w:rsidR="000543BD" w:rsidP="000543BD">
      <w:pPr>
        <w:pStyle w:val="BodyText"/>
      </w:pPr>
      <w:r w:rsidRPr="00CA688D">
        <w:t>Release 1. Supersedes and is equivalent to MEM19034A Apply chain manufacture process.</w:t>
      </w:r>
    </w:p>
    <w:p w:rsidR="00000000" w:rsidRPr="00CA688D" w:rsidP="00CA688D">
      <w:pPr>
        <w:pStyle w:val="Heading1"/>
      </w:pPr>
      <w:bookmarkStart w:id="2" w:name="O_947265"/>
      <w:bookmarkEnd w:id="2"/>
      <w:r w:rsidRPr="00CA688D">
        <w:t>Performance Evidence</w:t>
      </w:r>
    </w:p>
    <w:p w:rsidR="00000000" w:rsidRPr="00CA688D" w:rsidP="000543BD">
      <w:pPr>
        <w:pStyle w:val="BodyText"/>
      </w:pPr>
      <w:r w:rsidRPr="00CA688D">
        <w:t>Evidence required to demonstrate competence in this unit must be relevant to and satisfy the requirements of the elements and performance criteria and include:</w:t>
      </w:r>
    </w:p>
    <w:p w:rsidR="00000000" w:rsidRPr="00CA688D" w:rsidP="00CA688D">
      <w:pPr>
        <w:pStyle w:val="ListBullet"/>
      </w:pPr>
      <w:r w:rsidRPr="00CA688D">
        <w:t>following work instructions, standard operating procedures (SOPs) and safe work practices</w:t>
      </w:r>
    </w:p>
    <w:p w:rsidR="00000000" w:rsidRPr="00CA688D" w:rsidP="00CA688D">
      <w:pPr>
        <w:pStyle w:val="ListBullet"/>
      </w:pPr>
      <w:r w:rsidRPr="00CA688D">
        <w:t>apply</w:t>
      </w:r>
      <w:r w:rsidRPr="00CA688D">
        <w:t>ing chain manufacturing process on at least two occasions in accordance with SOPs, including the use of tools and equipment</w:t>
      </w:r>
    </w:p>
    <w:p w:rsidR="00000000" w:rsidRPr="00CA688D" w:rsidP="00CA688D">
      <w:pPr>
        <w:pStyle w:val="ListBullet"/>
      </w:pPr>
      <w:r w:rsidRPr="00CA688D">
        <w:t xml:space="preserve">calculating and cutting materials and rolling materials to size and thickness </w:t>
      </w:r>
    </w:p>
    <w:p w:rsidR="00000000" w:rsidRPr="00CA688D" w:rsidP="00CA688D">
      <w:pPr>
        <w:pStyle w:val="ListBullet"/>
      </w:pPr>
      <w:r w:rsidRPr="00CA688D">
        <w:t>annealing to relieve stress and work hardening accord</w:t>
      </w:r>
      <w:r w:rsidRPr="00CA688D">
        <w:t>ing to job requirements</w:t>
      </w:r>
    </w:p>
    <w:p w:rsidR="00000000" w:rsidRPr="00CA688D" w:rsidP="00CA688D">
      <w:pPr>
        <w:pStyle w:val="ListBullet"/>
      </w:pPr>
      <w:r w:rsidRPr="00CA688D">
        <w:t>drawing materials to size required</w:t>
      </w:r>
    </w:p>
    <w:p w:rsidR="00000000" w:rsidRPr="00CA688D" w:rsidP="00CA688D">
      <w:pPr>
        <w:pStyle w:val="ListBullet"/>
      </w:pPr>
      <w:r w:rsidRPr="00CA688D">
        <w:t>producing jewellery chains from wire on at least two occasions using soldering materials and equipment</w:t>
      </w:r>
    </w:p>
    <w:p w:rsidR="00000000" w:rsidRPr="00CA688D" w:rsidP="00CA688D">
      <w:pPr>
        <w:pStyle w:val="ListBullet"/>
      </w:pPr>
      <w:r w:rsidRPr="00CA688D">
        <w:t>finishing jewellery chains to a blemish-free high lustre.</w:t>
      </w:r>
    </w:p>
    <w:p w:rsidR="00000000" w:rsidRPr="00CA688D" w:rsidP="00CA688D">
      <w:pPr>
        <w:pStyle w:val="BodyText"/>
      </w:pPr>
    </w:p>
    <w:p w:rsidR="000543BD" w:rsidRPr="000543BD" w:rsidP="000543BD">
      <w:pPr>
        <w:pStyle w:val="BodyText"/>
        <w:rPr>
          <w:i/>
        </w:rPr>
      </w:pPr>
      <w:r w:rsidRPr="000543BD">
        <w:rPr>
          <w:rStyle w:val="Emphasis"/>
        </w:rPr>
        <w:t>Note: Where a volume and/or frequen</w:t>
      </w:r>
      <w:r w:rsidRPr="000543BD">
        <w:rPr>
          <w:rStyle w:val="Emphasis"/>
        </w:rPr>
        <w:t>cy is not specified, demonstration must be provided at least once.</w:t>
      </w:r>
    </w:p>
    <w:p w:rsidR="00000000" w:rsidRPr="00CA688D" w:rsidP="00CA688D">
      <w:pPr>
        <w:pStyle w:val="Heading1"/>
      </w:pPr>
      <w:bookmarkStart w:id="3" w:name="O_947264"/>
      <w:bookmarkEnd w:id="3"/>
      <w:r w:rsidRPr="00CA688D">
        <w:t>Knowledge Evidence</w:t>
      </w:r>
    </w:p>
    <w:p w:rsidR="00000000" w:rsidRPr="00CA688D" w:rsidP="000543BD">
      <w:pPr>
        <w:pStyle w:val="BodyText"/>
      </w:pPr>
      <w:r w:rsidRPr="00CA688D">
        <w:t>Evidence required to demonstrate the required knowledge for this unit must be relevant to and satisfy the requirements of the elements and performance c</w:t>
      </w:r>
      <w:r w:rsidRPr="00CA688D">
        <w:t>riteria and include knowledge of:</w:t>
      </w:r>
    </w:p>
    <w:p w:rsidR="00000000" w:rsidRPr="00CA688D" w:rsidP="00CA688D">
      <w:pPr>
        <w:pStyle w:val="ListBullet"/>
      </w:pPr>
      <w:r w:rsidRPr="00CA688D">
        <w:t>safe work practices and procedures and use of personal protective equipment (PPE)</w:t>
      </w:r>
    </w:p>
    <w:p w:rsidR="00000000" w:rsidRPr="00CA688D" w:rsidP="00CA688D">
      <w:pPr>
        <w:pStyle w:val="ListBullet"/>
      </w:pPr>
      <w:r w:rsidRPr="00CA688D">
        <w:t>equipment and techniques used in chain manufacture</w:t>
      </w:r>
    </w:p>
    <w:p w:rsidR="00000000" w:rsidRPr="00CA688D" w:rsidP="00CA688D">
      <w:pPr>
        <w:pStyle w:val="ListBullet"/>
      </w:pPr>
      <w:r w:rsidRPr="00CA688D">
        <w:t xml:space="preserve">uses of wire and chain </w:t>
      </w:r>
    </w:p>
    <w:p w:rsidR="00000000" w:rsidRPr="00CA688D" w:rsidP="00CA688D">
      <w:pPr>
        <w:pStyle w:val="ListBullet"/>
      </w:pPr>
      <w:r w:rsidRPr="00CA688D">
        <w:t>use of rolling equipment and techniques for rolling</w:t>
      </w:r>
    </w:p>
    <w:p w:rsidR="00000000" w:rsidRPr="00CA688D" w:rsidP="00CA688D">
      <w:pPr>
        <w:pStyle w:val="ListBullet"/>
      </w:pPr>
      <w:r w:rsidRPr="00CA688D">
        <w:t>calculations and measurements</w:t>
      </w:r>
    </w:p>
    <w:p w:rsidR="00000000" w:rsidRPr="00CA688D" w:rsidP="00CA688D">
      <w:pPr>
        <w:pStyle w:val="ListBullet"/>
      </w:pPr>
      <w:r w:rsidRPr="00CA688D">
        <w:t>procedures to anneal material and reasons for stress relieving metal</w:t>
      </w:r>
    </w:p>
    <w:p w:rsidR="00000000" w:rsidRPr="00CA688D" w:rsidP="00CA688D">
      <w:pPr>
        <w:pStyle w:val="ListBullet"/>
      </w:pPr>
      <w:r w:rsidRPr="00CA688D">
        <w:t>equipment and techniques and safety requirements for wire drawing</w:t>
      </w:r>
    </w:p>
    <w:p w:rsidR="00000000" w:rsidRPr="00CA688D" w:rsidP="00CA688D">
      <w:pPr>
        <w:pStyle w:val="ListBullet"/>
      </w:pPr>
      <w:r w:rsidRPr="00CA688D">
        <w:t>use of cleaning solution and safe practices with chemicals</w:t>
      </w:r>
    </w:p>
    <w:p w:rsidR="00000000" w:rsidRPr="00CA688D" w:rsidP="00CA688D">
      <w:pPr>
        <w:pStyle w:val="ListBullet"/>
      </w:pPr>
      <w:r w:rsidRPr="00CA688D">
        <w:t>procedure to make a split jig</w:t>
      </w:r>
    </w:p>
    <w:p w:rsidR="00000000" w:rsidRPr="00CA688D" w:rsidP="00CA688D">
      <w:pPr>
        <w:pStyle w:val="ListBullet"/>
      </w:pPr>
      <w:r w:rsidRPr="00CA688D">
        <w:t>te</w:t>
      </w:r>
      <w:r w:rsidRPr="00CA688D">
        <w:t>chniques for coiling and cutting link wire</w:t>
      </w:r>
    </w:p>
    <w:p w:rsidR="00000000" w:rsidRPr="00CA688D" w:rsidP="00CA688D">
      <w:pPr>
        <w:pStyle w:val="ListBullet"/>
      </w:pPr>
      <w:r w:rsidRPr="00CA688D">
        <w:t>procedures to fit and solder chain links</w:t>
      </w:r>
    </w:p>
    <w:p w:rsidR="00000000" w:rsidRPr="00CA688D" w:rsidP="00CA688D">
      <w:pPr>
        <w:pStyle w:val="ListBullet"/>
      </w:pPr>
      <w:r w:rsidRPr="00CA688D">
        <w:t>safe use of polishing lathe and polishing tumbler</w:t>
      </w:r>
    </w:p>
    <w:p w:rsidR="00000000" w:rsidRPr="00CA688D" w:rsidP="00CA688D">
      <w:pPr>
        <w:pStyle w:val="ListBullet"/>
      </w:pPr>
      <w:r w:rsidRPr="00CA688D">
        <w:t>selection and use of buffs and compounds</w:t>
      </w:r>
    </w:p>
    <w:p w:rsidR="00000000" w:rsidRPr="00CA688D" w:rsidP="00CA688D">
      <w:pPr>
        <w:pStyle w:val="ListBullet"/>
      </w:pPr>
      <w:r w:rsidRPr="00CA688D">
        <w:t>selection, use and maintenance of steel polishing shot</w:t>
      </w:r>
    </w:p>
    <w:p w:rsidR="000543BD" w:rsidP="00CA688D">
      <w:pPr>
        <w:pStyle w:val="ListBullet"/>
      </w:pPr>
      <w:r w:rsidRPr="00CA688D">
        <w:t>environmental consideratio</w:t>
      </w:r>
      <w:r w:rsidRPr="00CA688D">
        <w:t>ns related to chain manufacture.</w:t>
      </w:r>
    </w:p>
    <w:p w:rsidR="000543BD" w:rsidP="00CA688D">
      <w:pPr>
        <w:pStyle w:val="ListBullet"/>
      </w:pPr>
    </w:p>
    <w:p w:rsidR="00000000" w:rsidRPr="00CA688D" w:rsidP="00CA688D">
      <w:pPr>
        <w:pStyle w:val="Heading1"/>
      </w:pPr>
      <w:bookmarkStart w:id="4" w:name="O_947263"/>
      <w:bookmarkEnd w:id="4"/>
      <w:r w:rsidRPr="00CA688D">
        <w:t>Assessment Conditions</w:t>
      </w:r>
    </w:p>
    <w:p w:rsidR="00000000" w:rsidRPr="00CA688D" w:rsidP="00CA688D">
      <w:pPr>
        <w:pStyle w:val="ListBullet"/>
      </w:pPr>
      <w:r w:rsidRPr="00CA688D">
        <w:t>Assessors must:</w:t>
      </w:r>
    </w:p>
    <w:p w:rsidR="00000000" w:rsidRPr="00CA688D" w:rsidP="00CA688D">
      <w:pPr>
        <w:pStyle w:val="ListBullet2"/>
      </w:pPr>
      <w:r w:rsidRPr="00CA688D">
        <w:t>have vocational competency in applying chain manufacture process at least to the level being assessed with relevant industry knowledge and experience</w:t>
      </w:r>
    </w:p>
    <w:p w:rsidR="00000000" w:rsidRPr="00CA688D" w:rsidP="00CA688D">
      <w:pPr>
        <w:pStyle w:val="ListBullet2"/>
      </w:pPr>
      <w:r w:rsidRPr="00CA688D">
        <w:t xml:space="preserve">satisfy the assessor requirements in the </w:t>
      </w:r>
      <w:r w:rsidRPr="00CA688D">
        <w:rPr>
          <w:rStyle w:val="Emphasis"/>
        </w:rPr>
        <w:t xml:space="preserve">Standards for Registered Training Organisations 2015 </w:t>
      </w:r>
      <w:r w:rsidRPr="00CA688D">
        <w:t>or its replacement</w:t>
      </w:r>
      <w:r w:rsidRPr="00CA688D">
        <w:rPr>
          <w:rStyle w:val="Emphasis"/>
        </w:rPr>
        <w:t xml:space="preserve"> </w:t>
      </w:r>
      <w:r w:rsidRPr="00CA688D">
        <w:t xml:space="preserve">and comply with the </w:t>
      </w:r>
      <w:r w:rsidRPr="00CA688D">
        <w:rPr>
          <w:rStyle w:val="Emphasis"/>
        </w:rPr>
        <w:t xml:space="preserve">National Vocational Education and Training Regulator Act 2011, </w:t>
      </w:r>
      <w:r w:rsidRPr="00CA688D">
        <w:t>its replacement</w:t>
      </w:r>
      <w:r w:rsidRPr="00CA688D">
        <w:rPr>
          <w:rStyle w:val="Emphasis"/>
        </w:rPr>
        <w:t xml:space="preserve"> </w:t>
      </w:r>
      <w:r w:rsidRPr="00CA688D">
        <w:t>or equivalent legislation covering VET regul</w:t>
      </w:r>
      <w:r w:rsidRPr="00CA688D">
        <w:t>ation in a non-referring state/territory as the case requires.</w:t>
      </w:r>
    </w:p>
    <w:p w:rsidR="00000000" w:rsidRPr="00CA688D" w:rsidP="00CA688D">
      <w:pPr>
        <w:pStyle w:val="ListBullet"/>
      </w:pPr>
      <w:r w:rsidRPr="00CA688D">
        <w:t>Where possible, assessment must occur in operational workplace situations. Where this is not possible or where personal safety or environmental damage are limiting factors, assessment must occ</w:t>
      </w:r>
      <w:r w:rsidRPr="00CA688D">
        <w:t xml:space="preserve">ur in a sufficiently rigorous simulated environment that reflects realistic operational workplace conditions. This must cover all aspects of workplace performance, including environment, task </w:t>
      </w:r>
    </w:p>
    <w:p w:rsidR="00000000" w:rsidRPr="00CA688D" w:rsidP="00CA688D">
      <w:pPr>
        <w:pStyle w:val="ListBullet"/>
      </w:pPr>
      <w:r w:rsidRPr="00CA688D">
        <w:t>skills, task management skills, contingency management skills a</w:t>
      </w:r>
      <w:r w:rsidRPr="00CA688D">
        <w:t>nd job role environment skills.</w:t>
      </w:r>
    </w:p>
    <w:p w:rsidR="00000000" w:rsidRPr="00CA688D" w:rsidP="00CA688D">
      <w:pPr>
        <w:pStyle w:val="ListBullet"/>
      </w:pPr>
      <w:r w:rsidRPr="00CA688D">
        <w:t>Conditions for assessment must include access to all tools, equipment, materials and documentation required, including relevant workplace procedures, product and manufacturing specifications.</w:t>
      </w:r>
    </w:p>
    <w:p w:rsidR="000543BD" w:rsidP="00CA688D">
      <w:pPr>
        <w:pStyle w:val="ListBullet"/>
      </w:pPr>
      <w:r w:rsidRPr="00CA688D">
        <w:t>Assessment processes and techniq</w:t>
      </w:r>
      <w:r w:rsidRPr="00CA688D">
        <w:t>ues must be appropriate to the language, literacy and numeracy requirements of the work being performed and the needs of the candidate.</w:t>
      </w:r>
    </w:p>
    <w:p w:rsidR="000543BD" w:rsidP="00CA688D">
      <w:pPr>
        <w:pStyle w:val="ListBullet"/>
      </w:pPr>
    </w:p>
    <w:p w:rsidR="00000000" w:rsidRPr="00CA688D" w:rsidP="00CA688D">
      <w:pPr>
        <w:pStyle w:val="Heading1"/>
      </w:pPr>
      <w:bookmarkStart w:id="5" w:name="O_947261"/>
      <w:bookmarkEnd w:id="5"/>
      <w:r w:rsidRPr="00CA688D">
        <w:t>Links</w:t>
      </w:r>
    </w:p>
    <w:p w:rsidR="00000000" w:rsidRPr="00CA688D" w:rsidP="000543BD">
      <w:pPr>
        <w:pStyle w:val="BodyText"/>
      </w:pPr>
      <w:r w:rsidRPr="00CA68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0C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A688D" w:rsidP="00CA688D"/>
    <w:sectPr w:rsidSect="00CA6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8D" w:rsidRPr="000543BD" w:rsidP="00054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D" w:rsidP="00CA6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3BD" w:rsidP="00CA6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43BD" w:rsidP="00CA6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88D" w:rsidRPr="000543BD" w:rsidP="00054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D" w:rsidRPr="002D2AF8" w:rsidP="00CA6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MEM19034 Apply chain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543BD" w:rsidP="00CA6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2A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EA2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DC8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88D"/>
  </w:style>
  <w:style w:type="character" w:customStyle="1" w:styleId="Heading1Char">
    <w:name w:val="Heading 1 Char"/>
    <w:basedOn w:val="DefaultParagraphFont"/>
    <w:link w:val="Heading1"/>
    <w:rsid w:val="00CA6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8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8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688D"/>
    <w:rPr>
      <w:i/>
    </w:rPr>
  </w:style>
  <w:style w:type="paragraph" w:customStyle="1" w:styleId="SuperHeading">
    <w:name w:val="SuperHeading"/>
    <w:basedOn w:val="Normal"/>
    <w:rsid w:val="00CA6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88D"/>
    <w:rPr>
      <w:b/>
      <w:spacing w:val="0"/>
    </w:rPr>
  </w:style>
  <w:style w:type="paragraph" w:customStyle="1" w:styleId="SuperTitle">
    <w:name w:val="SuperTitle"/>
    <w:basedOn w:val="Title"/>
    <w:rsid w:val="00CA6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8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88D"/>
  </w:style>
  <w:style w:type="paragraph" w:styleId="TableofFigures">
    <w:name w:val="table of figures"/>
    <w:basedOn w:val="Normal"/>
    <w:next w:val="Normal"/>
    <w:semiHidden/>
    <w:rsid w:val="00CA6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8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88D"/>
    <w:rPr>
      <w:rFonts w:ascii="Wingdings" w:hAnsi="Wingdings"/>
    </w:rPr>
  </w:style>
  <w:style w:type="paragraph" w:customStyle="1" w:styleId="TableHeading">
    <w:name w:val="Table Heading"/>
    <w:basedOn w:val="HeadingBase"/>
    <w:rsid w:val="00CA6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88D"/>
    <w:rPr>
      <w:color w:val="0033CC"/>
      <w:u w:val="none"/>
    </w:rPr>
  </w:style>
  <w:style w:type="paragraph" w:customStyle="1" w:styleId="BodyTextRight">
    <w:name w:val="Body Text Right"/>
    <w:basedOn w:val="BodyText"/>
    <w:rsid w:val="00CA6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8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88D"/>
    <w:rPr>
      <w:sz w:val="32"/>
    </w:rPr>
  </w:style>
  <w:style w:type="paragraph" w:customStyle="1" w:styleId="HeadingProcedure">
    <w:name w:val="Heading Procedure"/>
    <w:basedOn w:val="HeadingBase"/>
    <w:next w:val="Normal"/>
    <w:rsid w:val="00CA6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88D"/>
    <w:pPr>
      <w:spacing w:before="60" w:after="60"/>
    </w:pPr>
  </w:style>
  <w:style w:type="paragraph" w:styleId="ListContinue">
    <w:name w:val="List Continue"/>
    <w:basedOn w:val="List"/>
    <w:rsid w:val="00CA688D"/>
    <w:pPr>
      <w:ind w:firstLine="0"/>
    </w:pPr>
  </w:style>
  <w:style w:type="paragraph" w:customStyle="1" w:styleId="ListNote">
    <w:name w:val="List Note"/>
    <w:basedOn w:val="List"/>
    <w:rsid w:val="00CA6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88D"/>
    <w:rPr>
      <w:rFonts w:ascii="Courier New" w:hAnsi="Courier New"/>
    </w:rPr>
  </w:style>
  <w:style w:type="paragraph" w:customStyle="1" w:styleId="NoteBullet">
    <w:name w:val="Note Bullet"/>
    <w:basedOn w:val="Note"/>
    <w:rsid w:val="00CA6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8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88D"/>
    <w:rPr>
      <w:b/>
      <w:smallCaps/>
    </w:rPr>
  </w:style>
  <w:style w:type="paragraph" w:customStyle="1" w:styleId="TableListNumber">
    <w:name w:val="Table List Number"/>
    <w:basedOn w:val="ListNumber"/>
    <w:rsid w:val="00CA6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88D"/>
    <w:pPr>
      <w:numPr>
        <w:numId w:val="9"/>
      </w:numPr>
    </w:pPr>
  </w:style>
  <w:style w:type="paragraph" w:customStyle="1" w:styleId="ListAlpha2">
    <w:name w:val="List Alpha 2"/>
    <w:basedOn w:val="List2"/>
    <w:rsid w:val="00CA688D"/>
    <w:pPr>
      <w:numPr>
        <w:numId w:val="8"/>
      </w:numPr>
    </w:pPr>
  </w:style>
  <w:style w:type="paragraph" w:styleId="List2">
    <w:name w:val="List 2"/>
    <w:basedOn w:val="BodyText"/>
    <w:rsid w:val="00CA6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8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8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88D"/>
    <w:pPr>
      <w:numPr>
        <w:numId w:val="4"/>
      </w:numPr>
    </w:pPr>
  </w:style>
  <w:style w:type="paragraph" w:styleId="ListContinue2">
    <w:name w:val="List Continue 2"/>
    <w:basedOn w:val="List2"/>
    <w:rsid w:val="00CA688D"/>
    <w:pPr>
      <w:ind w:firstLine="0"/>
    </w:pPr>
  </w:style>
  <w:style w:type="paragraph" w:styleId="ListContinue3">
    <w:name w:val="List Continue 3"/>
    <w:basedOn w:val="List3"/>
    <w:rsid w:val="00CA688D"/>
    <w:pPr>
      <w:ind w:left="1021" w:firstLine="0"/>
    </w:pPr>
  </w:style>
  <w:style w:type="paragraph" w:styleId="ListContinue4">
    <w:name w:val="List Continue 4"/>
    <w:basedOn w:val="List4"/>
    <w:rsid w:val="00CA688D"/>
    <w:pPr>
      <w:ind w:firstLine="0"/>
    </w:pPr>
  </w:style>
  <w:style w:type="paragraph" w:styleId="ListContinue5">
    <w:name w:val="List Continue 5"/>
    <w:basedOn w:val="List5"/>
    <w:rsid w:val="00CA688D"/>
    <w:pPr>
      <w:ind w:firstLine="0"/>
    </w:pPr>
  </w:style>
  <w:style w:type="paragraph" w:styleId="ListNumber3">
    <w:name w:val="List Number 3"/>
    <w:basedOn w:val="List3"/>
    <w:rsid w:val="00CA688D"/>
    <w:pPr>
      <w:numPr>
        <w:numId w:val="5"/>
      </w:numPr>
    </w:pPr>
  </w:style>
  <w:style w:type="paragraph" w:styleId="ListNumber4">
    <w:name w:val="List Number 4"/>
    <w:basedOn w:val="List4"/>
    <w:rsid w:val="00CA688D"/>
    <w:pPr>
      <w:numPr>
        <w:numId w:val="6"/>
      </w:numPr>
    </w:pPr>
  </w:style>
  <w:style w:type="paragraph" w:styleId="ListNumber5">
    <w:name w:val="List Number 5"/>
    <w:basedOn w:val="List5"/>
    <w:rsid w:val="00CA688D"/>
    <w:pPr>
      <w:numPr>
        <w:numId w:val="7"/>
      </w:numPr>
    </w:pPr>
  </w:style>
  <w:style w:type="paragraph" w:styleId="BlockText">
    <w:name w:val="Block Text"/>
    <w:basedOn w:val="Normal"/>
    <w:rsid w:val="00CA6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88D"/>
    <w:rPr>
      <w:sz w:val="16"/>
      <w:vertAlign w:val="superscript"/>
    </w:rPr>
  </w:style>
  <w:style w:type="character" w:customStyle="1" w:styleId="Symbols">
    <w:name w:val="Symbols"/>
    <w:basedOn w:val="DefaultParagraphFont"/>
    <w:rsid w:val="00CA688D"/>
    <w:rPr>
      <w:rFonts w:ascii="Symbol" w:hAnsi="Symbol"/>
    </w:rPr>
  </w:style>
  <w:style w:type="character" w:customStyle="1" w:styleId="MenuOptions">
    <w:name w:val="Menu Options"/>
    <w:basedOn w:val="DefaultParagraphFont"/>
    <w:rsid w:val="00CA6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88D"/>
    <w:rPr>
      <w:b/>
    </w:rPr>
  </w:style>
  <w:style w:type="character" w:customStyle="1" w:styleId="Underlined">
    <w:name w:val="Underlined"/>
    <w:basedOn w:val="DefaultParagraphFont"/>
    <w:rsid w:val="00CA688D"/>
    <w:rPr>
      <w:u w:val="single"/>
    </w:rPr>
  </w:style>
  <w:style w:type="paragraph" w:customStyle="1" w:styleId="TableBodyTextRight">
    <w:name w:val="Table Body Text Right"/>
    <w:basedOn w:val="TableBodyText"/>
    <w:rsid w:val="00CA6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88D"/>
    <w:rPr>
      <w:sz w:val="18"/>
    </w:rPr>
  </w:style>
  <w:style w:type="paragraph" w:customStyle="1" w:styleId="BodySmallRight">
    <w:name w:val="Body Small Right"/>
    <w:basedOn w:val="BodyTextRight"/>
    <w:rsid w:val="00CA688D"/>
    <w:rPr>
      <w:sz w:val="18"/>
      <w:szCs w:val="18"/>
    </w:rPr>
  </w:style>
  <w:style w:type="paragraph" w:customStyle="1" w:styleId="MarginEdition">
    <w:name w:val="Margin Edition"/>
    <w:basedOn w:val="MarginNote"/>
    <w:rsid w:val="00CA6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88D"/>
    <w:rPr>
      <w:sz w:val="2"/>
      <w:szCs w:val="2"/>
    </w:rPr>
  </w:style>
  <w:style w:type="character" w:customStyle="1" w:styleId="Small">
    <w:name w:val="Small"/>
    <w:basedOn w:val="DefaultParagraphFont"/>
    <w:rsid w:val="00CA688D"/>
    <w:rPr>
      <w:sz w:val="16"/>
    </w:rPr>
  </w:style>
  <w:style w:type="paragraph" w:customStyle="1" w:styleId="WideTable">
    <w:name w:val="Wide Table"/>
    <w:basedOn w:val="Normal"/>
    <w:rsid w:val="00CA6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88D"/>
  </w:style>
  <w:style w:type="paragraph" w:styleId="Quote">
    <w:name w:val="Quote"/>
    <w:basedOn w:val="Heading1"/>
    <w:link w:val="QuoteChar"/>
    <w:qFormat/>
    <w:rsid w:val="00CA6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88D"/>
    <w:pPr>
      <w:pageBreakBefore/>
    </w:pPr>
  </w:style>
  <w:style w:type="paragraph" w:customStyle="1" w:styleId="Border">
    <w:name w:val="Border"/>
    <w:basedOn w:val="Normal"/>
    <w:qFormat/>
    <w:rsid w:val="00CA6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88D"/>
    <w:rPr>
      <w:u w:val="single"/>
    </w:rPr>
  </w:style>
  <w:style w:type="character" w:customStyle="1" w:styleId="BoldandItalics">
    <w:name w:val="Bold and Italics"/>
    <w:qFormat/>
    <w:rsid w:val="00CA688D"/>
    <w:rPr>
      <w:b/>
      <w:i/>
      <w:u w:val="none"/>
    </w:rPr>
  </w:style>
  <w:style w:type="paragraph" w:styleId="BalloonText">
    <w:name w:val="Balloon Text"/>
    <w:basedOn w:val="Normal"/>
    <w:link w:val="BalloonTextChar"/>
    <w:rsid w:val="00CA6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88D"/>
    <w:pPr>
      <w:spacing w:before="0" w:after="0"/>
    </w:pPr>
  </w:style>
  <w:style w:type="paragraph" w:customStyle="1" w:styleId="BodyTextBold">
    <w:name w:val="Body Text Bold"/>
    <w:basedOn w:val="BodyText"/>
    <w:qFormat/>
    <w:rsid w:val="00CA688D"/>
    <w:rPr>
      <w:b/>
    </w:rPr>
  </w:style>
  <w:style w:type="character" w:styleId="Hyperlink">
    <w:name w:val="Hyperlink"/>
    <w:basedOn w:val="DefaultParagraphFont"/>
    <w:uiPriority w:val="99"/>
    <w:unhideWhenUsed/>
    <w:rsid w:val="00054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3238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MEM19034 Apply chain manufacture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