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1AEE" w:rsidP="000D1A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MEM19031 Produce renderings and technical drawings for jewellery or object design construction</w:t>
      </w:r>
      <w:r>
        <w:fldChar w:fldCharType="end"/>
      </w:r>
    </w:p>
    <w:p w:rsidR="000D1AEE" w:rsidP="000D1AEE">
      <w:pPr>
        <w:pStyle w:val="Version"/>
        <w:sectPr w:rsidSect="006B57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573C" w:rsidP="006B573C">
      <w:pPr>
        <w:pStyle w:val="SuperHeading"/>
      </w:pPr>
      <w:r w:rsidRPr="006B573C">
        <w:t>Assessment Requirements for MEM19031 Produce renderings and technical drawings for jewellery or object design construction</w:t>
      </w:r>
    </w:p>
    <w:p w:rsidR="00000000" w:rsidRPr="006B573C" w:rsidP="006B573C">
      <w:pPr>
        <w:pStyle w:val="Heading1"/>
      </w:pPr>
      <w:bookmarkStart w:id="1" w:name="O_947205"/>
      <w:bookmarkEnd w:id="1"/>
      <w:r w:rsidRPr="006B573C">
        <w:t>Modification History</w:t>
      </w:r>
    </w:p>
    <w:p w:rsidR="000D1AEE" w:rsidP="000D1AEE">
      <w:pPr>
        <w:pStyle w:val="BodyText"/>
      </w:pPr>
      <w:r w:rsidRPr="006B573C">
        <w:t>Release 1. Supersedes and is equivalent to MEM19031A Produce renderings and technical drawings for jewellery and object design construction.</w:t>
      </w:r>
    </w:p>
    <w:p w:rsidR="00000000" w:rsidRPr="006B573C" w:rsidP="006B573C">
      <w:pPr>
        <w:pStyle w:val="Heading1"/>
      </w:pPr>
      <w:bookmarkStart w:id="2" w:name="O_947208"/>
      <w:bookmarkEnd w:id="2"/>
      <w:r w:rsidRPr="006B573C">
        <w:t>Performance Evidence</w:t>
      </w:r>
    </w:p>
    <w:p w:rsidR="00000000" w:rsidRPr="006B573C" w:rsidP="000D1AEE">
      <w:pPr>
        <w:pStyle w:val="BodyText"/>
      </w:pPr>
      <w:r w:rsidRPr="006B573C">
        <w:t>Evidence required to demonstrate competence in this unit must be relevant to</w:t>
      </w:r>
      <w:r w:rsidRPr="006B573C">
        <w:t xml:space="preserve"> and satisfy the requirements of the elements and performance criteria and include:</w:t>
      </w:r>
    </w:p>
    <w:p w:rsidR="00000000" w:rsidRPr="006B573C" w:rsidP="006B573C">
      <w:pPr>
        <w:pStyle w:val="ListBullet"/>
      </w:pPr>
      <w:r w:rsidRPr="006B573C">
        <w:t>following work instructions, standard operating procedures (SOPs) and safe work practices</w:t>
      </w:r>
    </w:p>
    <w:p w:rsidR="00000000" w:rsidRPr="006B573C" w:rsidP="006B573C">
      <w:pPr>
        <w:pStyle w:val="ListBullet"/>
      </w:pPr>
      <w:r w:rsidRPr="006B573C">
        <w:t>identifying and collecting data necessary from the specifications and design feat</w:t>
      </w:r>
      <w:r w:rsidRPr="006B573C">
        <w:t>ures to produce the drawing or render</w:t>
      </w:r>
    </w:p>
    <w:p w:rsidR="00000000" w:rsidRPr="006B573C" w:rsidP="006B573C">
      <w:pPr>
        <w:pStyle w:val="ListBullet"/>
      </w:pPr>
      <w:r w:rsidRPr="006B573C">
        <w:t xml:space="preserve">selecting equipment appropriate to the illustration method and requirements </w:t>
      </w:r>
    </w:p>
    <w:p w:rsidR="00000000" w:rsidRPr="006B573C" w:rsidP="006B573C">
      <w:pPr>
        <w:pStyle w:val="ListBullet"/>
      </w:pPr>
      <w:r w:rsidRPr="006B573C">
        <w:t>using colour, contour, shadow and highlight techniques for emphasis to display jewellery or object design concept</w:t>
      </w:r>
    </w:p>
    <w:p w:rsidR="00000000" w:rsidRPr="006B573C" w:rsidP="006B573C">
      <w:pPr>
        <w:pStyle w:val="ListBullet"/>
      </w:pPr>
      <w:r w:rsidRPr="006B573C">
        <w:t>using drawings to demonstra</w:t>
      </w:r>
      <w:r w:rsidRPr="006B573C">
        <w:t>te the technical and visual features of jewellery or object design which will enable construction according to design requirements, on at least two occasions</w:t>
      </w:r>
    </w:p>
    <w:p w:rsidR="00000000" w:rsidRPr="006B573C" w:rsidP="006B573C">
      <w:pPr>
        <w:pStyle w:val="ListBullet"/>
      </w:pPr>
      <w:r w:rsidRPr="006B573C">
        <w:t>preparing and presenting drawings and supporting information that will appeal to the specific need</w:t>
      </w:r>
      <w:r w:rsidRPr="006B573C">
        <w:t>s of the intended audience, including specific design information and recommendations, on at least two occasions.</w:t>
      </w:r>
    </w:p>
    <w:p w:rsidR="00000000" w:rsidRPr="006B573C" w:rsidP="006B573C">
      <w:pPr>
        <w:pStyle w:val="BodyText"/>
      </w:pPr>
    </w:p>
    <w:p w:rsidR="000D1AEE" w:rsidRPr="000D1AEE" w:rsidP="000D1AEE">
      <w:pPr>
        <w:pStyle w:val="BodyText"/>
        <w:rPr>
          <w:i/>
        </w:rPr>
      </w:pPr>
      <w:r w:rsidRPr="000D1AEE">
        <w:rPr>
          <w:rStyle w:val="Emphasis"/>
        </w:rPr>
        <w:t>Note: Where a volume and/or frequency is not specified, demonstration must be provided at least once.</w:t>
      </w:r>
    </w:p>
    <w:p w:rsidR="00000000" w:rsidRPr="006B573C" w:rsidP="006B573C">
      <w:pPr>
        <w:pStyle w:val="Heading1"/>
      </w:pPr>
      <w:bookmarkStart w:id="3" w:name="O_947207"/>
      <w:bookmarkEnd w:id="3"/>
      <w:r w:rsidRPr="006B573C">
        <w:t>Knowledge Evidence</w:t>
      </w:r>
    </w:p>
    <w:p w:rsidR="00000000" w:rsidRPr="006B573C" w:rsidP="000D1AEE">
      <w:pPr>
        <w:pStyle w:val="BodyText"/>
      </w:pPr>
      <w:r w:rsidRPr="006B573C">
        <w:t>Ev</w:t>
      </w:r>
      <w:r w:rsidRPr="006B573C">
        <w:t>idence required to demonstrate the required knowledge for this unit must be relevant to and satisfy the requirements of the elements and performance criteria and include knowledge of:</w:t>
      </w:r>
    </w:p>
    <w:p w:rsidR="00000000" w:rsidRPr="006B573C" w:rsidP="006B573C">
      <w:pPr>
        <w:pStyle w:val="ListBullet"/>
      </w:pPr>
      <w:r w:rsidRPr="006B573C">
        <w:t xml:space="preserve">safe work practices and procedures </w:t>
      </w:r>
    </w:p>
    <w:p w:rsidR="00000000" w:rsidRPr="006B573C" w:rsidP="006B573C">
      <w:pPr>
        <w:pStyle w:val="ListBullet"/>
      </w:pPr>
      <w:r w:rsidRPr="006B573C">
        <w:t>documentation, storage and retrieva</w:t>
      </w:r>
      <w:r w:rsidRPr="006B573C">
        <w:t>l processes</w:t>
      </w:r>
    </w:p>
    <w:p w:rsidR="00000000" w:rsidRPr="006B573C" w:rsidP="006B573C">
      <w:pPr>
        <w:pStyle w:val="ListBullet"/>
      </w:pPr>
      <w:r w:rsidRPr="006B573C">
        <w:t>isometric and orthographic drawing perspectives</w:t>
      </w:r>
    </w:p>
    <w:p w:rsidR="00000000" w:rsidRPr="006B573C" w:rsidP="006B573C">
      <w:pPr>
        <w:pStyle w:val="ListBullet"/>
      </w:pPr>
      <w:r w:rsidRPr="006B573C">
        <w:t>drawing equipment and applications, storage and maintenance</w:t>
      </w:r>
    </w:p>
    <w:p w:rsidR="00000000" w:rsidRPr="006B573C" w:rsidP="006B573C">
      <w:pPr>
        <w:pStyle w:val="ListBullet"/>
      </w:pPr>
      <w:r w:rsidRPr="006B573C">
        <w:t>drawing methods, protocols and symbols used in technical drawings for jewellery or object manufacture</w:t>
      </w:r>
    </w:p>
    <w:p w:rsidR="00000000" w:rsidRPr="006B573C" w:rsidP="006B573C">
      <w:pPr>
        <w:pStyle w:val="ListBullet"/>
      </w:pPr>
      <w:r w:rsidRPr="006B573C">
        <w:t>rendering applications and techniques and tools for the creation of illustration effects</w:t>
      </w:r>
    </w:p>
    <w:p w:rsidR="00000000" w:rsidRPr="006B573C" w:rsidP="006B573C">
      <w:pPr>
        <w:pStyle w:val="ListBullet"/>
      </w:pPr>
      <w:r w:rsidRPr="006B573C">
        <w:t>jewellery or object design features and decorative finishes</w:t>
      </w:r>
    </w:p>
    <w:p w:rsidR="00000000" w:rsidRPr="006B573C" w:rsidP="006B573C">
      <w:pPr>
        <w:pStyle w:val="ListBullet"/>
      </w:pPr>
      <w:r w:rsidRPr="006B573C">
        <w:t>properties of metals used in practical manufacturing applications</w:t>
      </w:r>
    </w:p>
    <w:p w:rsidR="000D1AEE" w:rsidP="006B573C">
      <w:pPr>
        <w:pStyle w:val="ListBullet"/>
      </w:pPr>
      <w:r w:rsidRPr="006B573C">
        <w:t>options available for drawing presentatio</w:t>
      </w:r>
      <w:r w:rsidRPr="006B573C">
        <w:t>n.</w:t>
      </w:r>
    </w:p>
    <w:p w:rsidR="000D1AEE" w:rsidP="006B573C">
      <w:pPr>
        <w:pStyle w:val="ListBullet"/>
      </w:pPr>
    </w:p>
    <w:p w:rsidR="00000000" w:rsidRPr="006B573C" w:rsidP="006B573C">
      <w:pPr>
        <w:pStyle w:val="Heading1"/>
      </w:pPr>
      <w:bookmarkStart w:id="4" w:name="O_947206"/>
      <w:bookmarkEnd w:id="4"/>
      <w:r w:rsidRPr="006B573C">
        <w:t>Assessment Conditions</w:t>
      </w:r>
    </w:p>
    <w:p w:rsidR="00000000" w:rsidRPr="006B573C" w:rsidP="006B573C">
      <w:pPr>
        <w:pStyle w:val="ListBullet"/>
      </w:pPr>
      <w:r w:rsidRPr="006B573C">
        <w:t>Assessors must:</w:t>
      </w:r>
    </w:p>
    <w:p w:rsidR="00000000" w:rsidRPr="006B573C" w:rsidP="006B573C">
      <w:pPr>
        <w:pStyle w:val="ListBullet2"/>
      </w:pPr>
      <w:r w:rsidRPr="006B573C">
        <w:t>have vocational competency in producing renderings and technical drawings for jewellery or object design construction at least to the level being assessed with relevant industry knowledge and exp</w:t>
      </w:r>
      <w:r w:rsidRPr="006B573C">
        <w:t>erience</w:t>
      </w:r>
    </w:p>
    <w:p w:rsidR="00000000" w:rsidRPr="006B573C" w:rsidP="006B573C">
      <w:pPr>
        <w:pStyle w:val="ListBullet2"/>
      </w:pPr>
      <w:r w:rsidRPr="006B573C">
        <w:t xml:space="preserve">satisfy the assessor requirements in the </w:t>
      </w:r>
      <w:r w:rsidRPr="006B573C">
        <w:rPr>
          <w:rStyle w:val="Emphasis"/>
        </w:rPr>
        <w:t xml:space="preserve">Standards for Registered Training Organisations 2015 </w:t>
      </w:r>
      <w:r w:rsidRPr="006B573C">
        <w:t>or its replacement</w:t>
      </w:r>
      <w:r w:rsidRPr="006B573C">
        <w:rPr>
          <w:rStyle w:val="Emphasis"/>
        </w:rPr>
        <w:t xml:space="preserve"> </w:t>
      </w:r>
      <w:r w:rsidRPr="006B573C">
        <w:t xml:space="preserve">and comply with the </w:t>
      </w:r>
      <w:r w:rsidRPr="006B573C">
        <w:rPr>
          <w:rStyle w:val="Emphasis"/>
        </w:rPr>
        <w:t xml:space="preserve">National Vocational Education and Training Regulator Act 2011, </w:t>
      </w:r>
      <w:r w:rsidRPr="006B573C">
        <w:t>its replacement</w:t>
      </w:r>
      <w:r w:rsidRPr="006B573C">
        <w:rPr>
          <w:rStyle w:val="Emphasis"/>
        </w:rPr>
        <w:t xml:space="preserve"> </w:t>
      </w:r>
      <w:r w:rsidRPr="006B573C">
        <w:t>or equivalent legislation covering V</w:t>
      </w:r>
      <w:r w:rsidRPr="006B573C">
        <w:t>ET regulation in a non-referring state/territory as the case requires.</w:t>
      </w:r>
    </w:p>
    <w:p w:rsidR="00000000" w:rsidRPr="006B573C" w:rsidP="006B573C">
      <w:pPr>
        <w:pStyle w:val="ListBullet"/>
      </w:pPr>
      <w:r w:rsidRPr="006B573C">
        <w:t xml:space="preserve">Where possible, assessment must occur in operational workplace situations. Where this is not possible or where personal safety or environmental damage are limiting factors, assessment </w:t>
      </w:r>
      <w:r w:rsidRPr="006B573C">
        <w:t>must occur in a sufficiently rigorous simulated environment that reflects realistic operational workplace conditions. This must cover all aspects of workplace performance, including environment, task skills, task management skills, contingency management s</w:t>
      </w:r>
      <w:r w:rsidRPr="006B573C">
        <w:t>kills and job role environment skills.</w:t>
      </w:r>
    </w:p>
    <w:p w:rsidR="00000000" w:rsidRPr="006B573C" w:rsidP="006B573C">
      <w:pPr>
        <w:pStyle w:val="ListBullet"/>
      </w:pPr>
      <w:r w:rsidRPr="006B573C">
        <w:t>Conditions for assessment must include access to all tools, equipment, materials and documentation required, including relevant workplace procedures, product and manufacturing specifications.</w:t>
      </w:r>
    </w:p>
    <w:p w:rsidR="000D1AEE" w:rsidP="006B573C">
      <w:pPr>
        <w:pStyle w:val="ListBullet"/>
      </w:pPr>
      <w:r w:rsidRPr="006B573C">
        <w:t>Assessment processes and techniques must be appropriate to the language, literacy and numeracy requirements of the work being performed and the needs of the candidate</w:t>
      </w:r>
    </w:p>
    <w:p w:rsidR="000D1AEE" w:rsidP="006B573C">
      <w:pPr>
        <w:pStyle w:val="ListBullet"/>
      </w:pPr>
    </w:p>
    <w:p w:rsidR="00000000" w:rsidRPr="006B573C" w:rsidP="006B573C">
      <w:pPr>
        <w:pStyle w:val="Heading1"/>
      </w:pPr>
      <w:bookmarkStart w:id="5" w:name="O_947204"/>
      <w:bookmarkEnd w:id="5"/>
      <w:r w:rsidRPr="006B573C">
        <w:t>Links</w:t>
      </w:r>
    </w:p>
    <w:p w:rsidR="00000000" w:rsidRPr="006B573C" w:rsidP="000D1AEE">
      <w:pPr>
        <w:pStyle w:val="BodyText"/>
      </w:pPr>
      <w:r w:rsidRPr="006B57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74AA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B573C" w:rsidP="006B573C"/>
    <w:sectPr w:rsidSect="006B573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7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73C" w:rsidRPr="000D1AEE" w:rsidP="000D1A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7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AEE" w:rsidP="006B57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D1AEE" w:rsidP="006B57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D1AEE" w:rsidP="006B57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7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A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573C" w:rsidRPr="000D1AEE" w:rsidP="000D1A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7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AEE" w:rsidRPr="002D2AF8" w:rsidP="006B57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MEM19031 Produce renderings and technical drawings for jewellery or object design construction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0D1AEE" w:rsidP="006B57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6AEB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ACBE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5ECA3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57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57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57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57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57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57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57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57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57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57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57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573C"/>
  </w:style>
  <w:style w:type="character" w:customStyle="1" w:styleId="Heading1Char">
    <w:name w:val="Heading 1 Char"/>
    <w:basedOn w:val="DefaultParagraphFont"/>
    <w:link w:val="Heading1"/>
    <w:rsid w:val="006B57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57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57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573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B573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B573C"/>
    <w:rPr>
      <w:i/>
    </w:rPr>
  </w:style>
  <w:style w:type="paragraph" w:customStyle="1" w:styleId="SuperHeading">
    <w:name w:val="SuperHeading"/>
    <w:basedOn w:val="Normal"/>
    <w:rsid w:val="006B57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57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57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57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57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57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57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57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57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57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57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57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57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57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57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57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57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57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57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57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57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57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B573C"/>
    <w:rPr>
      <w:b/>
      <w:spacing w:val="0"/>
    </w:rPr>
  </w:style>
  <w:style w:type="paragraph" w:customStyle="1" w:styleId="SuperTitle">
    <w:name w:val="SuperTitle"/>
    <w:basedOn w:val="Title"/>
    <w:rsid w:val="006B57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57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57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57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57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57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57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57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57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57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57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573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B57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57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57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573C"/>
  </w:style>
  <w:style w:type="paragraph" w:styleId="TableofFigures">
    <w:name w:val="table of figures"/>
    <w:basedOn w:val="Normal"/>
    <w:next w:val="Normal"/>
    <w:semiHidden/>
    <w:rsid w:val="006B57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573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B573C"/>
    <w:rPr>
      <w:rFonts w:ascii="Wingdings" w:hAnsi="Wingdings"/>
    </w:rPr>
  </w:style>
  <w:style w:type="paragraph" w:customStyle="1" w:styleId="TableHeading">
    <w:name w:val="Table Heading"/>
    <w:basedOn w:val="HeadingBase"/>
    <w:rsid w:val="006B57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573C"/>
    <w:rPr>
      <w:color w:val="0033CC"/>
      <w:u w:val="none"/>
    </w:rPr>
  </w:style>
  <w:style w:type="paragraph" w:customStyle="1" w:styleId="BodyTextRight">
    <w:name w:val="Body Text Right"/>
    <w:basedOn w:val="BodyText"/>
    <w:rsid w:val="006B57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57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573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57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57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57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573C"/>
    <w:rPr>
      <w:sz w:val="32"/>
    </w:rPr>
  </w:style>
  <w:style w:type="paragraph" w:customStyle="1" w:styleId="HeadingProcedure">
    <w:name w:val="Heading Procedure"/>
    <w:basedOn w:val="HeadingBase"/>
    <w:next w:val="Normal"/>
    <w:rsid w:val="006B57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573C"/>
    <w:pPr>
      <w:spacing w:before="60" w:after="60"/>
    </w:pPr>
  </w:style>
  <w:style w:type="paragraph" w:styleId="ListContinue">
    <w:name w:val="List Continue"/>
    <w:basedOn w:val="List"/>
    <w:rsid w:val="006B573C"/>
    <w:pPr>
      <w:ind w:firstLine="0"/>
    </w:pPr>
  </w:style>
  <w:style w:type="paragraph" w:customStyle="1" w:styleId="ListNote">
    <w:name w:val="List Note"/>
    <w:basedOn w:val="List"/>
    <w:rsid w:val="006B57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57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57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573C"/>
    <w:rPr>
      <w:rFonts w:ascii="Courier New" w:hAnsi="Courier New"/>
    </w:rPr>
  </w:style>
  <w:style w:type="paragraph" w:customStyle="1" w:styleId="NoteBullet">
    <w:name w:val="Note Bullet"/>
    <w:basedOn w:val="Note"/>
    <w:rsid w:val="006B57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57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57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57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573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B57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57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573C"/>
    <w:rPr>
      <w:b/>
      <w:smallCaps/>
    </w:rPr>
  </w:style>
  <w:style w:type="paragraph" w:customStyle="1" w:styleId="TableListNumber">
    <w:name w:val="Table List Number"/>
    <w:basedOn w:val="ListNumber"/>
    <w:rsid w:val="006B57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57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573C"/>
    <w:pPr>
      <w:numPr>
        <w:numId w:val="9"/>
      </w:numPr>
    </w:pPr>
  </w:style>
  <w:style w:type="paragraph" w:customStyle="1" w:styleId="ListAlpha2">
    <w:name w:val="List Alpha 2"/>
    <w:basedOn w:val="List2"/>
    <w:rsid w:val="006B573C"/>
    <w:pPr>
      <w:numPr>
        <w:numId w:val="8"/>
      </w:numPr>
    </w:pPr>
  </w:style>
  <w:style w:type="paragraph" w:styleId="List2">
    <w:name w:val="List 2"/>
    <w:basedOn w:val="BodyText"/>
    <w:rsid w:val="006B57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57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57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57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573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573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B573C"/>
    <w:pPr>
      <w:numPr>
        <w:numId w:val="4"/>
      </w:numPr>
    </w:pPr>
  </w:style>
  <w:style w:type="paragraph" w:styleId="ListContinue2">
    <w:name w:val="List Continue 2"/>
    <w:basedOn w:val="List2"/>
    <w:rsid w:val="006B573C"/>
    <w:pPr>
      <w:ind w:firstLine="0"/>
    </w:pPr>
  </w:style>
  <w:style w:type="paragraph" w:styleId="ListContinue3">
    <w:name w:val="List Continue 3"/>
    <w:basedOn w:val="List3"/>
    <w:rsid w:val="006B573C"/>
    <w:pPr>
      <w:ind w:left="1021" w:firstLine="0"/>
    </w:pPr>
  </w:style>
  <w:style w:type="paragraph" w:styleId="ListContinue4">
    <w:name w:val="List Continue 4"/>
    <w:basedOn w:val="List4"/>
    <w:rsid w:val="006B573C"/>
    <w:pPr>
      <w:ind w:firstLine="0"/>
    </w:pPr>
  </w:style>
  <w:style w:type="paragraph" w:styleId="ListContinue5">
    <w:name w:val="List Continue 5"/>
    <w:basedOn w:val="List5"/>
    <w:rsid w:val="006B573C"/>
    <w:pPr>
      <w:ind w:firstLine="0"/>
    </w:pPr>
  </w:style>
  <w:style w:type="paragraph" w:styleId="ListNumber3">
    <w:name w:val="List Number 3"/>
    <w:basedOn w:val="List3"/>
    <w:rsid w:val="006B573C"/>
    <w:pPr>
      <w:numPr>
        <w:numId w:val="5"/>
      </w:numPr>
    </w:pPr>
  </w:style>
  <w:style w:type="paragraph" w:styleId="ListNumber4">
    <w:name w:val="List Number 4"/>
    <w:basedOn w:val="List4"/>
    <w:rsid w:val="006B573C"/>
    <w:pPr>
      <w:numPr>
        <w:numId w:val="6"/>
      </w:numPr>
    </w:pPr>
  </w:style>
  <w:style w:type="paragraph" w:styleId="ListNumber5">
    <w:name w:val="List Number 5"/>
    <w:basedOn w:val="List5"/>
    <w:rsid w:val="006B573C"/>
    <w:pPr>
      <w:numPr>
        <w:numId w:val="7"/>
      </w:numPr>
    </w:pPr>
  </w:style>
  <w:style w:type="paragraph" w:styleId="BlockText">
    <w:name w:val="Block Text"/>
    <w:basedOn w:val="Normal"/>
    <w:rsid w:val="006B57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57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573C"/>
    <w:rPr>
      <w:sz w:val="16"/>
      <w:vertAlign w:val="superscript"/>
    </w:rPr>
  </w:style>
  <w:style w:type="character" w:customStyle="1" w:styleId="Symbols">
    <w:name w:val="Symbols"/>
    <w:basedOn w:val="DefaultParagraphFont"/>
    <w:rsid w:val="006B573C"/>
    <w:rPr>
      <w:rFonts w:ascii="Symbol" w:hAnsi="Symbol"/>
    </w:rPr>
  </w:style>
  <w:style w:type="character" w:customStyle="1" w:styleId="MenuOptions">
    <w:name w:val="Menu Options"/>
    <w:basedOn w:val="DefaultParagraphFont"/>
    <w:rsid w:val="006B57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573C"/>
    <w:rPr>
      <w:b/>
    </w:rPr>
  </w:style>
  <w:style w:type="character" w:customStyle="1" w:styleId="Underlined">
    <w:name w:val="Underlined"/>
    <w:basedOn w:val="DefaultParagraphFont"/>
    <w:rsid w:val="006B573C"/>
    <w:rPr>
      <w:u w:val="single"/>
    </w:rPr>
  </w:style>
  <w:style w:type="paragraph" w:customStyle="1" w:styleId="TableBodyTextRight">
    <w:name w:val="Table Body Text Right"/>
    <w:basedOn w:val="TableBodyText"/>
    <w:rsid w:val="006B57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573C"/>
    <w:rPr>
      <w:sz w:val="18"/>
    </w:rPr>
  </w:style>
  <w:style w:type="paragraph" w:customStyle="1" w:styleId="BodySmallRight">
    <w:name w:val="Body Small Right"/>
    <w:basedOn w:val="BodyTextRight"/>
    <w:rsid w:val="006B573C"/>
    <w:rPr>
      <w:sz w:val="18"/>
      <w:szCs w:val="18"/>
    </w:rPr>
  </w:style>
  <w:style w:type="paragraph" w:customStyle="1" w:styleId="MarginEdition">
    <w:name w:val="Margin Edition"/>
    <w:basedOn w:val="MarginNote"/>
    <w:rsid w:val="006B57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573C"/>
    <w:rPr>
      <w:sz w:val="2"/>
      <w:szCs w:val="2"/>
    </w:rPr>
  </w:style>
  <w:style w:type="character" w:customStyle="1" w:styleId="Small">
    <w:name w:val="Small"/>
    <w:basedOn w:val="DefaultParagraphFont"/>
    <w:rsid w:val="006B573C"/>
    <w:rPr>
      <w:sz w:val="16"/>
    </w:rPr>
  </w:style>
  <w:style w:type="paragraph" w:customStyle="1" w:styleId="WideTable">
    <w:name w:val="Wide Table"/>
    <w:basedOn w:val="Normal"/>
    <w:rsid w:val="006B57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573C"/>
  </w:style>
  <w:style w:type="paragraph" w:styleId="Quote">
    <w:name w:val="Quote"/>
    <w:basedOn w:val="Heading1"/>
    <w:link w:val="QuoteChar"/>
    <w:qFormat/>
    <w:rsid w:val="006B57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57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573C"/>
    <w:pPr>
      <w:pageBreakBefore/>
    </w:pPr>
  </w:style>
  <w:style w:type="paragraph" w:customStyle="1" w:styleId="Border">
    <w:name w:val="Border"/>
    <w:basedOn w:val="Normal"/>
    <w:qFormat/>
    <w:rsid w:val="006B57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57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57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57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57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57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57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57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57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573C"/>
    <w:rPr>
      <w:u w:val="single"/>
    </w:rPr>
  </w:style>
  <w:style w:type="character" w:customStyle="1" w:styleId="BoldandItalics">
    <w:name w:val="Bold and Italics"/>
    <w:qFormat/>
    <w:rsid w:val="006B573C"/>
    <w:rPr>
      <w:b/>
      <w:i/>
      <w:u w:val="none"/>
    </w:rPr>
  </w:style>
  <w:style w:type="paragraph" w:styleId="BalloonText">
    <w:name w:val="Balloon Text"/>
    <w:basedOn w:val="Normal"/>
    <w:link w:val="BalloonTextChar"/>
    <w:rsid w:val="006B57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57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57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57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57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57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573C"/>
    <w:pPr>
      <w:spacing w:before="0" w:after="0"/>
    </w:pPr>
  </w:style>
  <w:style w:type="paragraph" w:customStyle="1" w:styleId="BodyTextBold">
    <w:name w:val="Body Text Bold"/>
    <w:basedOn w:val="BodyText"/>
    <w:qFormat/>
    <w:rsid w:val="006B573C"/>
    <w:rPr>
      <w:b/>
    </w:rPr>
  </w:style>
  <w:style w:type="character" w:styleId="Hyperlink">
    <w:name w:val="Hyperlink"/>
    <w:basedOn w:val="DefaultParagraphFont"/>
    <w:uiPriority w:val="99"/>
    <w:unhideWhenUsed/>
    <w:rsid w:val="000D1A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518</Words>
  <Characters>3462</Characters>
  <Application>Microsoft Office Word</Application>
  <DocSecurity>0</DocSecurity>
  <Lines>72</Lines>
  <Paragraphs>40</Paragraphs>
  <ScaleCrop>false</ScaleCrop>
  <Company>Author-it Software Corporation Ltd.</Company>
  <LinksUpToDate>false</LinksUpToDate>
  <CharactersWithSpaces>3940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MEM19031 Produce renderings and technical drawings for jewellery or object design construction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2023-02-03T07:08:00Z</dcterms:created>
  <dcterms:modified xsi:type="dcterms:W3CDTF">2023-02-03T07:08:00Z</dcterms:modified>
</cp:coreProperties>
</file>