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F0C" w:rsidP="00BD5F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MEM19021 Diagnose and service micro-mechanisms</w:t>
      </w:r>
      <w:r>
        <w:fldChar w:fldCharType="end"/>
      </w:r>
    </w:p>
    <w:p w:rsidR="00BD5F0C" w:rsidP="00BD5F0C">
      <w:pPr>
        <w:pStyle w:val="Version"/>
        <w:sectPr w:rsidSect="003A3B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BEB" w:rsidP="003A3BEB">
      <w:pPr>
        <w:pStyle w:val="SuperHeading"/>
      </w:pPr>
      <w:r w:rsidRPr="003A3BEB">
        <w:t>MEM19021 Diagnose and service micro-mechanisms</w:t>
      </w:r>
    </w:p>
    <w:p w:rsidR="00000000" w:rsidRPr="003A3BEB" w:rsidP="003A3BEB">
      <w:pPr>
        <w:pStyle w:val="Heading1"/>
      </w:pPr>
      <w:bookmarkStart w:id="1" w:name="O_947019"/>
      <w:bookmarkEnd w:id="1"/>
      <w:r w:rsidRPr="003A3BEB">
        <w:t>Modification History</w:t>
      </w:r>
    </w:p>
    <w:p w:rsidR="00000000" w:rsidRPr="003A3BEB" w:rsidP="00BD5F0C">
      <w:pPr>
        <w:pStyle w:val="BodyText"/>
      </w:pPr>
      <w:r w:rsidRPr="003A3BEB">
        <w:t>Release 1. Supersedes and is equivalent to MEM19021B Diagnose and service micro-mechanisms</w:t>
      </w:r>
    </w:p>
    <w:p w:rsidR="00000000" w:rsidRPr="003A3BEB" w:rsidP="003A3BEB">
      <w:pPr>
        <w:pStyle w:val="Heading1"/>
      </w:pPr>
      <w:bookmarkStart w:id="2" w:name="O_947027"/>
      <w:bookmarkEnd w:id="2"/>
      <w:r w:rsidRPr="003A3BEB">
        <w:t>Application</w:t>
      </w:r>
    </w:p>
    <w:p w:rsidR="00000000" w:rsidRPr="003A3BEB" w:rsidP="00BD5F0C">
      <w:pPr>
        <w:pStyle w:val="BodyText"/>
      </w:pPr>
      <w:r w:rsidRPr="003A3BEB">
        <w:t xml:space="preserve">This unit of competency defines the skills and knowledge required to diagnose and service micro-mechanisms </w:t>
      </w:r>
      <w:r w:rsidRPr="003A3BEB">
        <w:t>of clocks and watches, including the procurement and fitting of replacement parts, adjustment and checking to achieve timekeeping and water resistance of completed timepieces to specification.</w:t>
      </w:r>
    </w:p>
    <w:p w:rsidR="00000000" w:rsidRPr="003A3BEB" w:rsidP="00BD5F0C">
      <w:pPr>
        <w:pStyle w:val="BodyText"/>
      </w:pPr>
      <w:r w:rsidRPr="003A3BEB">
        <w:t>Where the manufacturing of parts is required appropriate machi</w:t>
      </w:r>
      <w:r w:rsidRPr="003A3BEB">
        <w:t>ning units should also be selected.</w:t>
      </w:r>
    </w:p>
    <w:p w:rsidR="00000000" w:rsidRPr="003A3BEB" w:rsidP="00BD5F0C">
      <w:pPr>
        <w:pStyle w:val="BodyText"/>
      </w:pPr>
      <w:r w:rsidRPr="003A3BEB">
        <w:t>No licensing, legislative or certification requirements apply to this unit at the time of publication.</w:t>
      </w:r>
    </w:p>
    <w:p w:rsidR="00000000" w:rsidRPr="003A3BEB" w:rsidP="003A3BEB">
      <w:pPr>
        <w:pStyle w:val="BodyText"/>
      </w:pPr>
      <w:r w:rsidRPr="003A3BEB">
        <w:rPr>
          <w:rStyle w:val="SpecialBold"/>
        </w:rPr>
        <w:t>Band</w:t>
      </w:r>
      <w:r w:rsidRPr="003A3BEB">
        <w:t>:</w:t>
      </w:r>
      <w:r w:rsidRPr="003A3BEB">
        <w:tab/>
      </w:r>
      <w:r w:rsidRPr="003A3BEB">
        <w:rPr>
          <w:rStyle w:val="SpecialBold"/>
        </w:rPr>
        <w:t>A</w:t>
      </w:r>
    </w:p>
    <w:p w:rsidR="00000000" w:rsidRPr="003A3BEB" w:rsidP="003A3BEB">
      <w:pPr>
        <w:pStyle w:val="BodyText"/>
      </w:pPr>
      <w:r w:rsidRPr="003A3BEB">
        <w:rPr>
          <w:rStyle w:val="SpecialBold"/>
        </w:rPr>
        <w:t>Unit Weight</w:t>
      </w:r>
      <w:r w:rsidRPr="003A3BEB">
        <w:t>:</w:t>
      </w:r>
      <w:r w:rsidRPr="003A3BEB">
        <w:tab/>
      </w:r>
      <w:r w:rsidRPr="003A3BEB">
        <w:rPr>
          <w:rStyle w:val="SpecialBold"/>
        </w:rPr>
        <w:t>6</w:t>
      </w:r>
    </w:p>
    <w:p w:rsidR="00000000" w:rsidRPr="003A3BEB" w:rsidP="003A3BEB">
      <w:pPr>
        <w:pStyle w:val="AllowPageBreak"/>
      </w:pPr>
    </w:p>
    <w:p w:rsidR="00000000" w:rsidRPr="003A3BEB" w:rsidP="003A3BEB">
      <w:pPr>
        <w:pStyle w:val="Heading1"/>
      </w:pPr>
      <w:bookmarkStart w:id="3" w:name="O_947026"/>
      <w:bookmarkEnd w:id="3"/>
      <w:r w:rsidRPr="003A3BE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0"/>
        <w:gridCol w:w="6859"/>
      </w:tblGrid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MEM09002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Interpret technical drawing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MEM11011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Undertake</w:t>
            </w:r>
            <w:r w:rsidRPr="003A3BEB">
              <w:t xml:space="preserve"> manual handling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MEM12023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Perform engineering measurements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MEM13015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Work safely and effectively in manufacturing and engineering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MEM16006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Organise and communicate information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MEM18001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Use hand tools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MEM18002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Use power tools/hand held operations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MEM18055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Dismantle, replace and assemble engineering components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MEM19020</w:t>
            </w:r>
          </w:p>
        </w:tc>
        <w:tc>
          <w:tcPr>
            <w:tcW w:w="6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BodyText"/>
            </w:pPr>
            <w:r w:rsidRPr="003A3BEB">
              <w:t>Fault find and maintain micro-mechanisms</w:t>
            </w:r>
          </w:p>
        </w:tc>
      </w:tr>
    </w:tbl>
    <w:p w:rsidR="00000000" w:rsidRPr="003A3BEB" w:rsidP="003A3BEB">
      <w:pPr>
        <w:pStyle w:val="BodyText"/>
      </w:pPr>
    </w:p>
    <w:p w:rsidR="00000000" w:rsidRPr="003A3BEB" w:rsidP="003A3BEB">
      <w:pPr>
        <w:pStyle w:val="AllowPageBreak"/>
      </w:pPr>
    </w:p>
    <w:p w:rsidR="00000000" w:rsidRPr="003A3BEB" w:rsidP="003A3BEB">
      <w:pPr>
        <w:pStyle w:val="Heading1"/>
      </w:pPr>
      <w:bookmarkStart w:id="4" w:name="O_947025"/>
      <w:bookmarkEnd w:id="4"/>
      <w:r w:rsidRPr="003A3BEB">
        <w:t>Competency Field</w:t>
      </w:r>
    </w:p>
    <w:p w:rsidR="00000000" w:rsidRPr="003A3BEB" w:rsidP="00BD5F0C">
      <w:pPr>
        <w:pStyle w:val="BodyText"/>
      </w:pPr>
      <w:r w:rsidRPr="003A3BEB">
        <w:t>Jewellery and horological</w:t>
      </w:r>
    </w:p>
    <w:p w:rsidR="00000000" w:rsidRPr="003A3BEB" w:rsidP="003A3BEB">
      <w:pPr>
        <w:pStyle w:val="Heading1"/>
      </w:pPr>
      <w:bookmarkStart w:id="5" w:name="O_947023"/>
      <w:bookmarkEnd w:id="5"/>
      <w:r w:rsidRPr="003A3B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Performance criteria describe the performance needed to demonstrate achievement of the element.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BodyText"/>
            </w:pPr>
            <w:r w:rsidRPr="003A3BE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Follow standard operating procedures (SOPs)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Comply with work health and safety (WHS) requirements at all times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Use appropriate personal protective equipment (PPE) in accordance with SOPs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Identify job requirements from specifications, drawings, job sheets or work instructions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BodyText"/>
            </w:pPr>
            <w:r w:rsidRPr="003A3BE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rPr>
                <w:rStyle w:val="SpecialBold"/>
              </w:rPr>
              <w:t>Identify performance requirements for servicing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Identify features and performance characteristics of micro-mechanism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Identify performance problems common to make and model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BodyText"/>
            </w:pPr>
            <w:r w:rsidRPr="003A3BE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rPr>
                <w:rStyle w:val="SpecialBold"/>
              </w:rPr>
              <w:t>Diagnose faults and servicing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Assess overall condition of micro-mechanism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Inspect and check physical condition and operational functioning of components and verify with appropriate persons, as required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Diagnose performance problems and establish servicing requirements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Source replacement parts according to SOPs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Determine overall repair costs for servicing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BodyText"/>
            </w:pPr>
            <w:r w:rsidRPr="003A3BE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rPr>
                <w:rStyle w:val="SpecialBold"/>
              </w:rPr>
              <w:t>Service micro-mechanism</w:t>
            </w:r>
            <w:r w:rsidRPr="003A3BEB">
              <w:rPr>
                <w:rStyle w:val="SpecialBold"/>
              </w:rPr>
              <w:t>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Refinish and replace components, as required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Assemble components and lubricate to specification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BodyText"/>
            </w:pPr>
            <w:r w:rsidRPr="003A3BEB">
              <w:t>Finish components and adjust to specification</w:t>
            </w:r>
          </w:p>
        </w:tc>
      </w:tr>
    </w:tbl>
    <w:p w:rsidR="00000000" w:rsidRPr="003A3BEB" w:rsidP="003A3BEB">
      <w:pPr>
        <w:pStyle w:val="BodyText"/>
      </w:pPr>
    </w:p>
    <w:p w:rsidR="00000000" w:rsidRPr="003A3BEB" w:rsidP="003A3BEB">
      <w:pPr>
        <w:pStyle w:val="AllowPageBreak"/>
      </w:pPr>
    </w:p>
    <w:p w:rsidR="00000000" w:rsidRPr="003A3BEB" w:rsidP="003A3BEB">
      <w:pPr>
        <w:pStyle w:val="Heading1"/>
      </w:pPr>
      <w:bookmarkStart w:id="6" w:name="O_947022"/>
      <w:bookmarkEnd w:id="6"/>
      <w:r w:rsidRPr="003A3BEB">
        <w:t>Foundation Skills</w:t>
      </w:r>
    </w:p>
    <w:p w:rsidR="00000000" w:rsidRPr="003A3BEB" w:rsidP="00BD5F0C">
      <w:pPr>
        <w:pStyle w:val="BodyText"/>
      </w:pPr>
      <w:r w:rsidRPr="003A3BE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A3BEB" w:rsidP="00BD5F0C">
      <w:pPr>
        <w:pStyle w:val="BodyText"/>
      </w:pPr>
      <w:r w:rsidRPr="003A3BEB">
        <w:t>Foundation skills essential to performance are explicit in the performance criteria of this unit of competency.</w:t>
      </w:r>
    </w:p>
    <w:p w:rsidR="00000000" w:rsidRPr="003A3BEB" w:rsidP="003A3BEB">
      <w:pPr>
        <w:pStyle w:val="Heading1"/>
      </w:pPr>
      <w:bookmarkStart w:id="7" w:name="O_947021"/>
      <w:bookmarkEnd w:id="7"/>
      <w:r w:rsidRPr="003A3BE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t>This field allows for different work environments and conditions that may affect performance. Essential ope</w:t>
            </w:r>
            <w:r w:rsidRPr="003A3BE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rPr>
                <w:rStyle w:val="SpecialBold"/>
              </w:rPr>
              <w:t>Micro-mechanisms</w:t>
            </w:r>
            <w:r w:rsidRPr="003A3BEB">
              <w:t xml:space="preserve"> </w:t>
            </w:r>
            <w:r w:rsidRPr="003A3BEB">
              <w:rPr>
                <w:rStyle w:val="SpecialBold"/>
              </w:rPr>
              <w:t>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ListBullet"/>
            </w:pPr>
            <w:r w:rsidRPr="003A3BEB">
              <w:t>mechanical watc</w:t>
            </w:r>
            <w:r w:rsidRPr="003A3BEB">
              <w:t xml:space="preserve">hes and clocks 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electric watches and clocks </w:t>
            </w:r>
          </w:p>
          <w:p w:rsidR="00000000" w:rsidRPr="003A3BEB" w:rsidP="003A3BEB">
            <w:pPr>
              <w:pStyle w:val="ListBullet"/>
            </w:pPr>
            <w:r w:rsidRPr="003A3BEB">
              <w:t>pieces of recent manufacture</w:t>
            </w:r>
          </w:p>
          <w:p w:rsidR="00000000" w:rsidRPr="003A3BEB" w:rsidP="003A3BEB">
            <w:pPr>
              <w:pStyle w:val="ListBullet"/>
            </w:pPr>
            <w:r w:rsidRPr="003A3BEB">
              <w:t>restoration pieces</w:t>
            </w:r>
          </w:p>
          <w:p w:rsidR="00000000" w:rsidRPr="003A3BEB" w:rsidP="003A3BEB">
            <w:pPr>
              <w:pStyle w:val="ListBullet"/>
            </w:pPr>
            <w:r w:rsidRPr="003A3BEB">
              <w:t>day and date systems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automatic winding systems </w:t>
            </w:r>
          </w:p>
          <w:p w:rsidR="00000000" w:rsidRPr="003A3BEB" w:rsidP="003A3BEB">
            <w:pPr>
              <w:pStyle w:val="ListBullet"/>
            </w:pPr>
            <w:r w:rsidRPr="003A3BEB">
              <w:t>generating systems</w:t>
            </w:r>
          </w:p>
          <w:p w:rsidR="00000000" w:rsidRPr="003A3BEB" w:rsidP="003A3BEB">
            <w:pPr>
              <w:pStyle w:val="ListBullet"/>
            </w:pPr>
            <w:r w:rsidRPr="003A3BEB">
              <w:t>alarm mechanisms</w:t>
            </w:r>
          </w:p>
          <w:p w:rsidR="00000000" w:rsidRPr="003A3BEB" w:rsidP="003A3BEB">
            <w:pPr>
              <w:pStyle w:val="ListBullet"/>
            </w:pPr>
            <w:r w:rsidRPr="003A3BEB">
              <w:t>striking and chiming mechanisms</w:t>
            </w:r>
          </w:p>
          <w:p w:rsidR="00000000" w:rsidP="003A3BEB">
            <w:pPr>
              <w:pStyle w:val="ListBullet"/>
              <w:rPr>
                <w:lang w:val="en-NZ"/>
              </w:rPr>
            </w:pPr>
            <w:r w:rsidRPr="003A3BEB">
              <w:t>calendar mechanisms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rPr>
                <w:rStyle w:val="SpecialBold"/>
              </w:rPr>
              <w:t>Components</w:t>
            </w:r>
            <w:r w:rsidRPr="003A3BEB">
              <w:t xml:space="preserve"> </w:t>
            </w:r>
            <w:r w:rsidRPr="003A3BEB">
              <w:rPr>
                <w:rStyle w:val="SpecialBold"/>
              </w:rPr>
              <w:t>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ListBullet"/>
            </w:pPr>
            <w:r w:rsidRPr="003A3BEB">
              <w:t>power source</w:t>
            </w:r>
          </w:p>
          <w:p w:rsidR="00000000" w:rsidRPr="003A3BEB" w:rsidP="003A3BEB">
            <w:pPr>
              <w:pStyle w:val="ListBullet"/>
            </w:pPr>
            <w:r w:rsidRPr="003A3BEB">
              <w:t>wheel trains</w:t>
            </w:r>
          </w:p>
          <w:p w:rsidR="00000000" w:rsidRPr="003A3BEB" w:rsidP="003A3BEB">
            <w:pPr>
              <w:pStyle w:val="ListBullet"/>
            </w:pPr>
            <w:r w:rsidRPr="003A3BEB">
              <w:t>mechanical oscillating systems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motion work </w:t>
            </w:r>
          </w:p>
          <w:p w:rsidR="00000000" w:rsidRPr="003A3BEB" w:rsidP="003A3BEB">
            <w:pPr>
              <w:pStyle w:val="ListBullet"/>
            </w:pPr>
            <w:r w:rsidRPr="003A3BEB">
              <w:t>calendar systems</w:t>
            </w:r>
          </w:p>
          <w:p w:rsidR="00000000" w:rsidRPr="003A3BEB" w:rsidP="003A3BEB">
            <w:pPr>
              <w:pStyle w:val="ListBullet"/>
            </w:pPr>
            <w:r w:rsidRPr="003A3BEB">
              <w:t>casing components</w:t>
            </w:r>
          </w:p>
          <w:p w:rsidR="00000000" w:rsidP="003A3BEB">
            <w:pPr>
              <w:pStyle w:val="ListBullet"/>
              <w:rPr>
                <w:lang w:val="en-NZ"/>
              </w:rPr>
            </w:pPr>
            <w:r w:rsidRPr="003A3BEB">
              <w:t>pivots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rPr>
                <w:rStyle w:val="SpecialBold"/>
              </w:rPr>
              <w:t>Checks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ListBullet"/>
            </w:pPr>
            <w:r w:rsidRPr="003A3BEB">
              <w:t>tensioning</w:t>
            </w:r>
          </w:p>
          <w:p w:rsidR="00000000" w:rsidRPr="003A3BEB" w:rsidP="003A3BEB">
            <w:pPr>
              <w:pStyle w:val="ListBullet"/>
            </w:pPr>
            <w:r w:rsidRPr="003A3BEB">
              <w:t>functioning</w:t>
            </w:r>
          </w:p>
          <w:p w:rsidR="00000000" w:rsidRPr="003A3BEB" w:rsidP="003A3BEB">
            <w:pPr>
              <w:pStyle w:val="ListBullet"/>
            </w:pPr>
            <w:r w:rsidRPr="003A3BEB">
              <w:t>cleanliness</w:t>
            </w:r>
          </w:p>
          <w:p w:rsidR="00000000" w:rsidRPr="003A3BEB" w:rsidP="003A3BEB">
            <w:pPr>
              <w:pStyle w:val="ListBullet"/>
            </w:pPr>
            <w:r w:rsidRPr="003A3BEB">
              <w:t>clearances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tolerances 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wear </w:t>
            </w:r>
          </w:p>
          <w:p w:rsidR="00000000" w:rsidRPr="003A3BEB" w:rsidP="003A3BEB">
            <w:pPr>
              <w:pStyle w:val="ListBullet"/>
            </w:pPr>
            <w:r w:rsidRPr="003A3BEB">
              <w:t>damage</w:t>
            </w:r>
          </w:p>
          <w:p w:rsidR="00000000" w:rsidP="003A3BEB">
            <w:pPr>
              <w:pStyle w:val="ListBullet"/>
              <w:rPr>
                <w:lang w:val="en-NZ"/>
              </w:rPr>
            </w:pPr>
            <w:r w:rsidRPr="003A3BEB">
              <w:t>water resistance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rPr>
                <w:rStyle w:val="SpecialBold"/>
              </w:rPr>
              <w:t>Inspection includes observations of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ListBullet"/>
            </w:pPr>
            <w:r w:rsidRPr="003A3BEB">
              <w:t>clearances</w:t>
            </w:r>
          </w:p>
          <w:p w:rsidR="00000000" w:rsidRPr="003A3BEB" w:rsidP="003A3BEB">
            <w:pPr>
              <w:pStyle w:val="ListBullet"/>
            </w:pPr>
            <w:r w:rsidRPr="003A3BEB">
              <w:t>fits and adjustments</w:t>
            </w:r>
          </w:p>
          <w:p w:rsidR="00000000" w:rsidRPr="003A3BEB" w:rsidP="003A3BEB">
            <w:pPr>
              <w:pStyle w:val="ListBullet"/>
            </w:pPr>
            <w:r w:rsidRPr="003A3BEB">
              <w:t>functioning</w:t>
            </w:r>
          </w:p>
          <w:p w:rsidR="00000000" w:rsidRPr="003A3BEB" w:rsidP="003A3BEB">
            <w:pPr>
              <w:pStyle w:val="ListBullet"/>
            </w:pPr>
            <w:r w:rsidRPr="003A3BEB">
              <w:t>systems and performance analysis</w:t>
            </w:r>
          </w:p>
          <w:p w:rsidR="00000000" w:rsidRPr="003A3BEB" w:rsidP="003A3BEB">
            <w:pPr>
              <w:pStyle w:val="ListBullet"/>
            </w:pPr>
            <w:r w:rsidRPr="003A3BEB">
              <w:t>materials</w:t>
            </w:r>
          </w:p>
          <w:p w:rsidR="00000000" w:rsidRPr="003A3BEB" w:rsidP="003A3BEB">
            <w:pPr>
              <w:pStyle w:val="ListBullet"/>
            </w:pPr>
            <w:r w:rsidRPr="003A3BEB">
              <w:t>design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finish 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movement type 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typical performance problems </w:t>
            </w:r>
          </w:p>
          <w:p w:rsidR="00000000" w:rsidRPr="003A3BEB" w:rsidP="003A3BEB">
            <w:pPr>
              <w:pStyle w:val="ListBullet"/>
            </w:pPr>
            <w:r w:rsidRPr="003A3BEB">
              <w:t>special servicing requirements</w:t>
            </w:r>
          </w:p>
          <w:p w:rsidR="00000000" w:rsidRPr="003A3BEB" w:rsidP="003A3BEB">
            <w:pPr>
              <w:pStyle w:val="ListBullet"/>
            </w:pPr>
            <w:r w:rsidRPr="003A3BEB">
              <w:t>assemblies</w:t>
            </w:r>
          </w:p>
          <w:p w:rsidR="00000000" w:rsidRPr="003A3BEB" w:rsidP="003A3BEB">
            <w:pPr>
              <w:pStyle w:val="ListBullet"/>
            </w:pPr>
            <w:r w:rsidRPr="003A3BEB">
              <w:t>subassemblies</w:t>
            </w:r>
          </w:p>
          <w:p w:rsidR="00000000" w:rsidRPr="003A3BEB" w:rsidP="003A3BEB">
            <w:pPr>
              <w:pStyle w:val="ListBullet"/>
            </w:pPr>
            <w:r w:rsidRPr="003A3BEB">
              <w:t>escapement</w:t>
            </w:r>
          </w:p>
          <w:p w:rsidR="00000000" w:rsidRPr="003A3BEB" w:rsidP="003A3BEB">
            <w:pPr>
              <w:pStyle w:val="ListBullet"/>
            </w:pPr>
            <w:r w:rsidRPr="003A3BEB">
              <w:t>wheel train</w:t>
            </w:r>
          </w:p>
          <w:p w:rsidR="00000000" w:rsidRPr="003A3BEB" w:rsidP="003A3BEB">
            <w:pPr>
              <w:pStyle w:val="ListBullet"/>
            </w:pPr>
            <w:r w:rsidRPr="003A3BEB">
              <w:t>motion work</w:t>
            </w:r>
          </w:p>
          <w:p w:rsidR="00000000" w:rsidRPr="003A3BEB" w:rsidP="003A3BEB">
            <w:pPr>
              <w:pStyle w:val="ListBullet"/>
            </w:pPr>
            <w:r w:rsidRPr="003A3BEB">
              <w:t>power source (mainspring)</w:t>
            </w:r>
          </w:p>
          <w:p w:rsidR="00000000" w:rsidRPr="003A3BEB" w:rsidP="003A3BEB">
            <w:pPr>
              <w:pStyle w:val="ListBullet"/>
            </w:pPr>
            <w:r w:rsidRPr="003A3BEB">
              <w:t>calendar</w:t>
            </w:r>
          </w:p>
          <w:p w:rsidR="00000000" w:rsidP="003A3BEB">
            <w:pPr>
              <w:pStyle w:val="ListBullet"/>
              <w:rPr>
                <w:lang w:val="en-NZ"/>
              </w:rPr>
            </w:pPr>
            <w:r w:rsidRPr="003A3BEB">
              <w:t>winding and setting mechanisms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rPr>
                <w:rStyle w:val="SpecialBold"/>
              </w:rPr>
              <w:t>Faults and damage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ListBullet"/>
            </w:pPr>
            <w:r w:rsidRPr="003A3BEB">
              <w:t>wear</w:t>
            </w:r>
          </w:p>
          <w:p w:rsidR="00000000" w:rsidRPr="003A3BEB" w:rsidP="003A3BEB">
            <w:pPr>
              <w:pStyle w:val="ListBullet"/>
            </w:pPr>
            <w:r w:rsidRPr="003A3BEB">
              <w:t>broken parts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fatigue 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knocking  </w:t>
            </w:r>
          </w:p>
          <w:p w:rsidR="00000000" w:rsidRPr="003A3BEB" w:rsidP="003A3BEB">
            <w:pPr>
              <w:pStyle w:val="ListBullet"/>
            </w:pPr>
            <w:r w:rsidRPr="003A3BEB">
              <w:t xml:space="preserve">contaminants </w:t>
            </w:r>
          </w:p>
          <w:p w:rsidR="00000000" w:rsidP="003A3BEB">
            <w:pPr>
              <w:pStyle w:val="ListBullet"/>
              <w:rPr>
                <w:lang w:val="en-NZ"/>
              </w:rPr>
            </w:pPr>
            <w:r w:rsidRPr="003A3BEB">
              <w:t>rust</w:t>
            </w:r>
          </w:p>
        </w:tc>
      </w:tr>
      <w:tr w:rsidTr="003A3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BEB">
            <w:pPr>
              <w:pStyle w:val="BodyText"/>
              <w:rPr>
                <w:lang w:val="en-NZ"/>
              </w:rPr>
            </w:pPr>
            <w:r w:rsidRPr="003A3BEB">
              <w:rPr>
                <w:rStyle w:val="SpecialBold"/>
              </w:rPr>
              <w:t>Appropriate persons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BEB" w:rsidP="003A3BEB">
            <w:pPr>
              <w:pStyle w:val="ListBullet"/>
            </w:pPr>
            <w:r w:rsidRPr="003A3BEB">
              <w:t>customers</w:t>
            </w:r>
          </w:p>
          <w:p w:rsidR="00000000" w:rsidRPr="003A3BEB" w:rsidP="003A3BEB">
            <w:pPr>
              <w:pStyle w:val="ListBullet"/>
            </w:pPr>
            <w:r w:rsidRPr="003A3BEB">
              <w:t>supervisors</w:t>
            </w:r>
          </w:p>
          <w:p w:rsidR="00000000" w:rsidRPr="003A3BEB" w:rsidP="003A3BEB">
            <w:pPr>
              <w:pStyle w:val="ListBullet"/>
            </w:pPr>
            <w:r w:rsidRPr="003A3BEB">
              <w:t>managers</w:t>
            </w:r>
          </w:p>
          <w:p w:rsidR="00000000" w:rsidRPr="003A3BEB" w:rsidP="003A3BEB">
            <w:pPr>
              <w:pStyle w:val="ListBullet"/>
            </w:pPr>
            <w:r w:rsidRPr="003A3BEB">
              <w:t>suppliers</w:t>
            </w:r>
          </w:p>
          <w:p w:rsidR="00000000" w:rsidRPr="003A3BEB" w:rsidP="003A3BEB">
            <w:pPr>
              <w:pStyle w:val="ListBullet"/>
            </w:pPr>
            <w:r w:rsidRPr="003A3BEB">
              <w:t>technical experts</w:t>
            </w:r>
          </w:p>
          <w:p w:rsidR="00000000" w:rsidRPr="003A3BEB" w:rsidP="003A3BEB">
            <w:pPr>
              <w:pStyle w:val="ListBullet"/>
            </w:pPr>
            <w:r w:rsidRPr="003A3BEB">
              <w:t>colleagues</w:t>
            </w:r>
          </w:p>
        </w:tc>
      </w:tr>
    </w:tbl>
    <w:p w:rsidR="00000000" w:rsidRPr="003A3BEB" w:rsidP="003A3BEB">
      <w:pPr>
        <w:pStyle w:val="BodyText"/>
      </w:pPr>
    </w:p>
    <w:p w:rsidR="00000000" w:rsidRPr="003A3BEB" w:rsidP="003A3BEB">
      <w:pPr>
        <w:pStyle w:val="AllowPageBreak"/>
      </w:pPr>
    </w:p>
    <w:p w:rsidR="00000000" w:rsidRPr="003A3BEB" w:rsidP="003A3BEB">
      <w:pPr>
        <w:pStyle w:val="Heading1"/>
      </w:pPr>
      <w:bookmarkStart w:id="8" w:name="O_947020"/>
      <w:bookmarkEnd w:id="8"/>
      <w:r w:rsidRPr="003A3BEB">
        <w:t>Unit Mapping Information</w:t>
      </w:r>
    </w:p>
    <w:p w:rsidR="00000000" w:rsidRPr="003A3BEB" w:rsidP="00BD5F0C">
      <w:pPr>
        <w:pStyle w:val="BodyText"/>
      </w:pPr>
      <w:r w:rsidRPr="003A3BEB">
        <w:t>Release 1. Supersedes and is equivalent to MEM19021B Diagnose and service micro-mechanisms</w:t>
      </w:r>
    </w:p>
    <w:p w:rsidR="00000000" w:rsidRPr="003A3BEB" w:rsidP="003A3BEB">
      <w:pPr>
        <w:pStyle w:val="Heading1"/>
      </w:pPr>
      <w:bookmarkStart w:id="9" w:name="O_947013"/>
      <w:bookmarkEnd w:id="9"/>
      <w:r w:rsidRPr="003A3BEB">
        <w:t>Links</w:t>
      </w:r>
    </w:p>
    <w:p w:rsidR="00000000" w:rsidRPr="003A3BEB" w:rsidP="00BD5F0C">
      <w:pPr>
        <w:pStyle w:val="BodyText"/>
      </w:pPr>
      <w:r w:rsidRPr="003A3B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3D4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A3BEB" w:rsidP="003A3BEB"/>
    <w:sectPr w:rsidSect="003A3B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EB" w:rsidRPr="00BD5F0C" w:rsidP="00BD5F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0C" w:rsidP="003A3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5F0C" w:rsidP="003A3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5F0C" w:rsidP="003A3B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3BEB" w:rsidRPr="00BD5F0C" w:rsidP="00BD5F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B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F0C" w:rsidRPr="002D2AF8" w:rsidP="003A3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MEM19021 Diagnose and service micro-mechanisms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D5F0C" w:rsidP="003A3B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1C5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8E3C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B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B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B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B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B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B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B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B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B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B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B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BEB"/>
  </w:style>
  <w:style w:type="character" w:customStyle="1" w:styleId="Heading1Char">
    <w:name w:val="Heading 1 Char"/>
    <w:basedOn w:val="DefaultParagraphFont"/>
    <w:link w:val="Heading1"/>
    <w:rsid w:val="003A3B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B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B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B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BEB"/>
    <w:rPr>
      <w:b/>
      <w:spacing w:val="0"/>
    </w:rPr>
  </w:style>
  <w:style w:type="paragraph" w:customStyle="1" w:styleId="SuperHeading">
    <w:name w:val="SuperHeading"/>
    <w:basedOn w:val="Normal"/>
    <w:rsid w:val="003A3B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B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B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B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B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B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B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B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B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B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B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B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B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B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B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B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B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B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B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B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B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3B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3B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B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B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B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B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B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B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B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B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BEB"/>
    <w:rPr>
      <w:i/>
    </w:rPr>
  </w:style>
  <w:style w:type="paragraph" w:styleId="Caption">
    <w:name w:val="caption"/>
    <w:basedOn w:val="BodyText"/>
    <w:next w:val="Normal"/>
    <w:qFormat/>
    <w:rsid w:val="003A3B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B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B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BEB"/>
  </w:style>
  <w:style w:type="paragraph" w:styleId="TableofFigures">
    <w:name w:val="table of figures"/>
    <w:basedOn w:val="Normal"/>
    <w:next w:val="Normal"/>
    <w:semiHidden/>
    <w:rsid w:val="003A3B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B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3BEB"/>
    <w:rPr>
      <w:rFonts w:ascii="Wingdings" w:hAnsi="Wingdings"/>
    </w:rPr>
  </w:style>
  <w:style w:type="paragraph" w:customStyle="1" w:styleId="TableHeading">
    <w:name w:val="Table Heading"/>
    <w:basedOn w:val="HeadingBase"/>
    <w:rsid w:val="003A3B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BEB"/>
    <w:rPr>
      <w:color w:val="0033CC"/>
      <w:u w:val="none"/>
    </w:rPr>
  </w:style>
  <w:style w:type="paragraph" w:customStyle="1" w:styleId="BodyTextRight">
    <w:name w:val="Body Text Right"/>
    <w:basedOn w:val="BodyText"/>
    <w:rsid w:val="003A3B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B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B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B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B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B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BEB"/>
    <w:rPr>
      <w:sz w:val="32"/>
    </w:rPr>
  </w:style>
  <w:style w:type="paragraph" w:customStyle="1" w:styleId="HeadingProcedure">
    <w:name w:val="Heading Procedure"/>
    <w:basedOn w:val="HeadingBase"/>
    <w:next w:val="Normal"/>
    <w:rsid w:val="003A3B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BEB"/>
    <w:pPr>
      <w:spacing w:before="60" w:after="60"/>
    </w:pPr>
  </w:style>
  <w:style w:type="paragraph" w:styleId="ListContinue">
    <w:name w:val="List Continue"/>
    <w:basedOn w:val="List"/>
    <w:rsid w:val="003A3BEB"/>
    <w:pPr>
      <w:ind w:firstLine="0"/>
    </w:pPr>
  </w:style>
  <w:style w:type="paragraph" w:customStyle="1" w:styleId="ListNote">
    <w:name w:val="List Note"/>
    <w:basedOn w:val="List"/>
    <w:rsid w:val="003A3B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B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B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BEB"/>
    <w:rPr>
      <w:rFonts w:ascii="Courier New" w:hAnsi="Courier New"/>
    </w:rPr>
  </w:style>
  <w:style w:type="paragraph" w:customStyle="1" w:styleId="NoteBullet">
    <w:name w:val="Note Bullet"/>
    <w:basedOn w:val="Note"/>
    <w:rsid w:val="003A3B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B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B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B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B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3B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B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BEB"/>
    <w:rPr>
      <w:b/>
      <w:smallCaps/>
    </w:rPr>
  </w:style>
  <w:style w:type="paragraph" w:customStyle="1" w:styleId="TableListNumber">
    <w:name w:val="Table List Number"/>
    <w:basedOn w:val="ListNumber"/>
    <w:rsid w:val="003A3B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B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BEB"/>
    <w:pPr>
      <w:numPr>
        <w:numId w:val="8"/>
      </w:numPr>
    </w:pPr>
  </w:style>
  <w:style w:type="paragraph" w:customStyle="1" w:styleId="ListAlpha2">
    <w:name w:val="List Alpha 2"/>
    <w:basedOn w:val="List2"/>
    <w:rsid w:val="003A3BEB"/>
    <w:pPr>
      <w:numPr>
        <w:numId w:val="7"/>
      </w:numPr>
    </w:pPr>
  </w:style>
  <w:style w:type="paragraph" w:styleId="List2">
    <w:name w:val="List 2"/>
    <w:basedOn w:val="BodyText"/>
    <w:rsid w:val="003A3B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B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B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B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B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B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3BEB"/>
    <w:pPr>
      <w:numPr>
        <w:numId w:val="3"/>
      </w:numPr>
    </w:pPr>
  </w:style>
  <w:style w:type="paragraph" w:styleId="ListContinue2">
    <w:name w:val="List Continue 2"/>
    <w:basedOn w:val="List2"/>
    <w:rsid w:val="003A3BEB"/>
    <w:pPr>
      <w:ind w:firstLine="0"/>
    </w:pPr>
  </w:style>
  <w:style w:type="paragraph" w:styleId="ListContinue3">
    <w:name w:val="List Continue 3"/>
    <w:basedOn w:val="List3"/>
    <w:rsid w:val="003A3BEB"/>
    <w:pPr>
      <w:ind w:left="1021" w:firstLine="0"/>
    </w:pPr>
  </w:style>
  <w:style w:type="paragraph" w:styleId="ListContinue4">
    <w:name w:val="List Continue 4"/>
    <w:basedOn w:val="List4"/>
    <w:rsid w:val="003A3BEB"/>
    <w:pPr>
      <w:ind w:firstLine="0"/>
    </w:pPr>
  </w:style>
  <w:style w:type="paragraph" w:styleId="ListContinue5">
    <w:name w:val="List Continue 5"/>
    <w:basedOn w:val="List5"/>
    <w:rsid w:val="003A3BEB"/>
    <w:pPr>
      <w:ind w:firstLine="0"/>
    </w:pPr>
  </w:style>
  <w:style w:type="paragraph" w:styleId="ListNumber3">
    <w:name w:val="List Number 3"/>
    <w:basedOn w:val="List3"/>
    <w:rsid w:val="003A3BEB"/>
    <w:pPr>
      <w:numPr>
        <w:numId w:val="4"/>
      </w:numPr>
    </w:pPr>
  </w:style>
  <w:style w:type="paragraph" w:styleId="ListNumber4">
    <w:name w:val="List Number 4"/>
    <w:basedOn w:val="List4"/>
    <w:rsid w:val="003A3BEB"/>
    <w:pPr>
      <w:numPr>
        <w:numId w:val="5"/>
      </w:numPr>
    </w:pPr>
  </w:style>
  <w:style w:type="paragraph" w:styleId="ListNumber5">
    <w:name w:val="List Number 5"/>
    <w:basedOn w:val="List5"/>
    <w:rsid w:val="003A3BEB"/>
    <w:pPr>
      <w:numPr>
        <w:numId w:val="6"/>
      </w:numPr>
    </w:pPr>
  </w:style>
  <w:style w:type="paragraph" w:styleId="BlockText">
    <w:name w:val="Block Text"/>
    <w:basedOn w:val="Normal"/>
    <w:rsid w:val="003A3B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B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BEB"/>
    <w:rPr>
      <w:sz w:val="16"/>
      <w:vertAlign w:val="superscript"/>
    </w:rPr>
  </w:style>
  <w:style w:type="character" w:customStyle="1" w:styleId="Symbols">
    <w:name w:val="Symbols"/>
    <w:basedOn w:val="DefaultParagraphFont"/>
    <w:rsid w:val="003A3BEB"/>
    <w:rPr>
      <w:rFonts w:ascii="Symbol" w:hAnsi="Symbol"/>
    </w:rPr>
  </w:style>
  <w:style w:type="character" w:customStyle="1" w:styleId="MenuOptions">
    <w:name w:val="Menu Options"/>
    <w:basedOn w:val="DefaultParagraphFont"/>
    <w:rsid w:val="003A3B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BEB"/>
    <w:rPr>
      <w:b/>
    </w:rPr>
  </w:style>
  <w:style w:type="character" w:customStyle="1" w:styleId="Underlined">
    <w:name w:val="Underlined"/>
    <w:basedOn w:val="DefaultParagraphFont"/>
    <w:rsid w:val="003A3BEB"/>
    <w:rPr>
      <w:u w:val="single"/>
    </w:rPr>
  </w:style>
  <w:style w:type="paragraph" w:customStyle="1" w:styleId="TableBodyTextRight">
    <w:name w:val="Table Body Text Right"/>
    <w:basedOn w:val="TableBodyText"/>
    <w:rsid w:val="003A3B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BEB"/>
    <w:rPr>
      <w:sz w:val="18"/>
    </w:rPr>
  </w:style>
  <w:style w:type="paragraph" w:customStyle="1" w:styleId="BodySmallRight">
    <w:name w:val="Body Small Right"/>
    <w:basedOn w:val="BodyTextRight"/>
    <w:rsid w:val="003A3BEB"/>
    <w:rPr>
      <w:sz w:val="18"/>
      <w:szCs w:val="18"/>
    </w:rPr>
  </w:style>
  <w:style w:type="paragraph" w:customStyle="1" w:styleId="MarginEdition">
    <w:name w:val="Margin Edition"/>
    <w:basedOn w:val="MarginNote"/>
    <w:rsid w:val="003A3B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BEB"/>
    <w:rPr>
      <w:sz w:val="2"/>
      <w:szCs w:val="2"/>
    </w:rPr>
  </w:style>
  <w:style w:type="character" w:customStyle="1" w:styleId="Small">
    <w:name w:val="Small"/>
    <w:basedOn w:val="DefaultParagraphFont"/>
    <w:rsid w:val="003A3BEB"/>
    <w:rPr>
      <w:sz w:val="16"/>
    </w:rPr>
  </w:style>
  <w:style w:type="paragraph" w:customStyle="1" w:styleId="WideTable">
    <w:name w:val="Wide Table"/>
    <w:basedOn w:val="Normal"/>
    <w:rsid w:val="003A3B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BEB"/>
  </w:style>
  <w:style w:type="paragraph" w:styleId="Quote">
    <w:name w:val="Quote"/>
    <w:basedOn w:val="Heading1"/>
    <w:link w:val="QuoteChar"/>
    <w:qFormat/>
    <w:rsid w:val="003A3B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B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BEB"/>
    <w:pPr>
      <w:pageBreakBefore/>
    </w:pPr>
  </w:style>
  <w:style w:type="paragraph" w:customStyle="1" w:styleId="Border">
    <w:name w:val="Border"/>
    <w:basedOn w:val="Normal"/>
    <w:qFormat/>
    <w:rsid w:val="003A3B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B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B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B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B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B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B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B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B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BEB"/>
    <w:rPr>
      <w:u w:val="single"/>
    </w:rPr>
  </w:style>
  <w:style w:type="character" w:customStyle="1" w:styleId="BoldandItalics">
    <w:name w:val="Bold and Italics"/>
    <w:qFormat/>
    <w:rsid w:val="003A3BEB"/>
    <w:rPr>
      <w:b/>
      <w:i/>
      <w:u w:val="none"/>
    </w:rPr>
  </w:style>
  <w:style w:type="paragraph" w:styleId="BalloonText">
    <w:name w:val="Balloon Text"/>
    <w:basedOn w:val="Normal"/>
    <w:link w:val="BalloonTextChar"/>
    <w:rsid w:val="003A3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B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B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B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B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B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3BEB"/>
    <w:pPr>
      <w:spacing w:before="0" w:after="0"/>
    </w:pPr>
  </w:style>
  <w:style w:type="paragraph" w:customStyle="1" w:styleId="BodyTextBold">
    <w:name w:val="Body Text Bold"/>
    <w:basedOn w:val="BodyText"/>
    <w:qFormat/>
    <w:rsid w:val="003A3BEB"/>
    <w:rPr>
      <w:b/>
    </w:rPr>
  </w:style>
  <w:style w:type="character" w:styleId="Hyperlink">
    <w:name w:val="Hyperlink"/>
    <w:basedOn w:val="DefaultParagraphFont"/>
    <w:uiPriority w:val="99"/>
    <w:unhideWhenUsed/>
    <w:rsid w:val="00BD5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621</Words>
  <Characters>4194</Characters>
  <Application>Microsoft Office Word</Application>
  <DocSecurity>0</DocSecurity>
  <Lines>233</Lines>
  <Paragraphs>166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MEM19021 Diagnose and service micro-mechanisms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