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5D89" w:rsidP="00C55D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MEM19016 Construct jewellery components</w:t>
      </w:r>
      <w:r>
        <w:fldChar w:fldCharType="end"/>
      </w:r>
    </w:p>
    <w:p w:rsidR="00C55D89" w:rsidP="00C55D89">
      <w:pPr>
        <w:pStyle w:val="Version"/>
        <w:sectPr w:rsidSect="00123A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3A09" w:rsidP="00123A09">
      <w:pPr>
        <w:pStyle w:val="SuperHeading"/>
      </w:pPr>
      <w:r w:rsidRPr="00123A09">
        <w:t>Assessment Requirements for MEM19016 Construct jewellery components</w:t>
      </w:r>
    </w:p>
    <w:p w:rsidR="00000000" w:rsidRPr="00123A09" w:rsidP="00123A09">
      <w:pPr>
        <w:pStyle w:val="Heading1"/>
      </w:pPr>
      <w:bookmarkStart w:id="1" w:name="O_946642"/>
      <w:bookmarkEnd w:id="1"/>
      <w:r w:rsidRPr="00123A09">
        <w:t>Modification History</w:t>
      </w:r>
    </w:p>
    <w:p w:rsidR="00000000" w:rsidRPr="00123A09" w:rsidP="00C55D89">
      <w:pPr>
        <w:pStyle w:val="BodyText"/>
      </w:pPr>
      <w:r w:rsidRPr="00123A09">
        <w:t xml:space="preserve">Release 1. Supersedes and is equivalent to MEM19016B Construct jewellery components </w:t>
      </w:r>
    </w:p>
    <w:p w:rsidR="00000000" w:rsidRPr="00123A09" w:rsidP="00123A09">
      <w:pPr>
        <w:pStyle w:val="Heading1"/>
      </w:pPr>
      <w:bookmarkStart w:id="2" w:name="O_946645"/>
      <w:bookmarkEnd w:id="2"/>
      <w:r w:rsidRPr="00123A09">
        <w:t>Performance Evidence</w:t>
      </w:r>
    </w:p>
    <w:p w:rsidR="00000000" w:rsidRPr="00123A09" w:rsidP="00C55D89">
      <w:pPr>
        <w:pStyle w:val="BodyText"/>
      </w:pPr>
      <w:r w:rsidRPr="00123A09">
        <w:t>Evidence required to demonstrate competence in this unit must be relevant to and satisfy the requirements of the elements and performance criteria on at least two (2) occasions and include:</w:t>
      </w:r>
    </w:p>
    <w:p w:rsidR="00000000" w:rsidRPr="00123A09" w:rsidP="00123A09">
      <w:pPr>
        <w:pStyle w:val="ListBullet"/>
      </w:pPr>
      <w:r w:rsidRPr="00123A09">
        <w:t>following work instructions, standard operating procedures (SOPs)</w:t>
      </w:r>
      <w:r w:rsidRPr="00123A09">
        <w:t xml:space="preserve"> and safe work practices</w:t>
      </w:r>
    </w:p>
    <w:p w:rsidR="00000000" w:rsidRPr="00123A09" w:rsidP="00123A09">
      <w:pPr>
        <w:pStyle w:val="ListBullet"/>
      </w:pPr>
      <w:r w:rsidRPr="00123A09">
        <w:t xml:space="preserve">identifying and interpreting jewellery illustrations and samples to identify component type, design, material type and specifications </w:t>
      </w:r>
    </w:p>
    <w:p w:rsidR="00000000" w:rsidRPr="00123A09" w:rsidP="00123A09">
      <w:pPr>
        <w:pStyle w:val="ListBullet"/>
      </w:pPr>
      <w:r w:rsidRPr="00123A09">
        <w:t xml:space="preserve">identifying the forming and joining methods appropriate to the design requirements </w:t>
      </w:r>
    </w:p>
    <w:p w:rsidR="00000000" w:rsidRPr="00123A09" w:rsidP="00123A09">
      <w:pPr>
        <w:pStyle w:val="ListBullet"/>
      </w:pPr>
      <w:r w:rsidRPr="00123A09">
        <w:t>transferring</w:t>
      </w:r>
      <w:r w:rsidRPr="00123A09">
        <w:t xml:space="preserve"> design to work piece using appropriate methods </w:t>
      </w:r>
    </w:p>
    <w:p w:rsidR="00000000" w:rsidRPr="00123A09" w:rsidP="00123A09">
      <w:pPr>
        <w:pStyle w:val="ListBullet"/>
      </w:pPr>
      <w:r w:rsidRPr="00123A09">
        <w:t xml:space="preserve">selecting and using tools and equipment </w:t>
      </w:r>
    </w:p>
    <w:p w:rsidR="00000000" w:rsidRPr="00123A09" w:rsidP="00123A09">
      <w:pPr>
        <w:pStyle w:val="ListBullet"/>
      </w:pPr>
      <w:r w:rsidRPr="00123A09">
        <w:t xml:space="preserve">following design markings to form component or item, achieving desired symmetry, angle and shape and aligning joins </w:t>
      </w:r>
    </w:p>
    <w:p w:rsidR="00000000" w:rsidRPr="00123A09" w:rsidP="00123A09">
      <w:pPr>
        <w:pStyle w:val="ListBullet"/>
      </w:pPr>
      <w:r w:rsidRPr="00123A09">
        <w:t xml:space="preserve">removing excess materials by filing or emery and </w:t>
      </w:r>
      <w:r w:rsidRPr="00123A09">
        <w:t>undertaking re-forming adjustments to achieve specifications, as necessary</w:t>
      </w:r>
    </w:p>
    <w:p w:rsidR="00000000" w:rsidRPr="00123A09" w:rsidP="00123A09">
      <w:pPr>
        <w:pStyle w:val="ListBullet"/>
      </w:pPr>
      <w:r w:rsidRPr="00123A09">
        <w:t>finishing component or item to specification to a fine emery finish and polishing item in accordance with SOPs</w:t>
      </w:r>
    </w:p>
    <w:p w:rsidR="00000000" w:rsidRPr="00123A09" w:rsidP="00123A09">
      <w:pPr>
        <w:pStyle w:val="ListBullet"/>
      </w:pPr>
      <w:r w:rsidRPr="00123A09">
        <w:t>identifying and rectifying problems/errors.</w:t>
      </w:r>
    </w:p>
    <w:p w:rsidR="00000000" w:rsidRPr="00123A09" w:rsidP="00123A09">
      <w:pPr>
        <w:pStyle w:val="AllowPageBreak"/>
      </w:pPr>
    </w:p>
    <w:p w:rsidR="00000000" w:rsidRPr="00123A09" w:rsidP="00123A09">
      <w:pPr>
        <w:pStyle w:val="Heading1"/>
      </w:pPr>
      <w:bookmarkStart w:id="3" w:name="O_946644"/>
      <w:bookmarkEnd w:id="3"/>
      <w:r w:rsidRPr="00123A09">
        <w:t>Knowledge</w:t>
      </w:r>
      <w:r w:rsidRPr="00123A09">
        <w:t xml:space="preserve"> Evidence</w:t>
      </w:r>
    </w:p>
    <w:p w:rsidR="00000000" w:rsidRPr="00123A09" w:rsidP="00C55D89">
      <w:pPr>
        <w:pStyle w:val="BodyText"/>
      </w:pPr>
      <w:r w:rsidRPr="00123A09">
        <w:t>Evidence required to demonstrate the required knowledge for this unit must be relevant to and satisfy the requirements of the elements and performance criteria and include knowledge of:</w:t>
      </w:r>
    </w:p>
    <w:p w:rsidR="00000000" w:rsidRPr="00123A09" w:rsidP="00123A09">
      <w:pPr>
        <w:pStyle w:val="ListBullet"/>
      </w:pPr>
      <w:r w:rsidRPr="00123A09">
        <w:t>safe work practices and procedures and use of personal prot</w:t>
      </w:r>
      <w:r w:rsidRPr="00123A09">
        <w:t>ective equipment (PPE)</w:t>
      </w:r>
    </w:p>
    <w:p w:rsidR="00000000" w:rsidRPr="00123A09" w:rsidP="00123A09">
      <w:pPr>
        <w:pStyle w:val="ListBullet"/>
      </w:pPr>
      <w:r w:rsidRPr="00123A09">
        <w:t>metal types, applications and properties</w:t>
      </w:r>
    </w:p>
    <w:p w:rsidR="00000000" w:rsidRPr="00123A09" w:rsidP="00123A09">
      <w:pPr>
        <w:pStyle w:val="ListBullet"/>
      </w:pPr>
      <w:r w:rsidRPr="00123A09">
        <w:t>methods and tools for transferring designs</w:t>
      </w:r>
    </w:p>
    <w:p w:rsidR="00000000" w:rsidRPr="00123A09" w:rsidP="00123A09">
      <w:pPr>
        <w:pStyle w:val="ListBullet"/>
      </w:pPr>
      <w:r w:rsidRPr="00123A09">
        <w:t>selection and uses of blades, drills and files</w:t>
      </w:r>
    </w:p>
    <w:p w:rsidR="00000000" w:rsidRPr="00123A09" w:rsidP="00123A09">
      <w:pPr>
        <w:pStyle w:val="ListBullet"/>
      </w:pPr>
      <w:r w:rsidRPr="00123A09">
        <w:t xml:space="preserve">tools, techniques and methods for forming and finishing </w:t>
      </w:r>
    </w:p>
    <w:p w:rsidR="00000000" w:rsidRPr="00123A09" w:rsidP="00123A09">
      <w:pPr>
        <w:pStyle w:val="ListBullet"/>
      </w:pPr>
      <w:r w:rsidRPr="00123A09">
        <w:t>polishing techniques</w:t>
      </w:r>
    </w:p>
    <w:p w:rsidR="00000000" w:rsidRPr="00123A09" w:rsidP="00123A09">
      <w:pPr>
        <w:pStyle w:val="ListBullet"/>
      </w:pPr>
      <w:r w:rsidRPr="00123A09">
        <w:t>procedures for identification and rectification of problems/errors.</w:t>
      </w:r>
    </w:p>
    <w:p w:rsidR="00000000" w:rsidRPr="00123A09" w:rsidP="00123A09">
      <w:pPr>
        <w:pStyle w:val="AllowPageBreak"/>
      </w:pPr>
    </w:p>
    <w:p w:rsidR="00000000" w:rsidRPr="00123A09" w:rsidP="00123A09">
      <w:pPr>
        <w:pStyle w:val="Heading1"/>
      </w:pPr>
      <w:bookmarkStart w:id="4" w:name="O_946643"/>
      <w:bookmarkEnd w:id="4"/>
      <w:r w:rsidRPr="00123A09">
        <w:t>Assessment Conditions</w:t>
      </w:r>
    </w:p>
    <w:p w:rsidR="00000000" w:rsidRPr="00123A09" w:rsidP="00123A09">
      <w:pPr>
        <w:pStyle w:val="ListBullet"/>
      </w:pPr>
      <w:r w:rsidRPr="00123A09">
        <w:t>Assessors must:</w:t>
      </w:r>
    </w:p>
    <w:p w:rsidR="00000000" w:rsidRPr="00123A09" w:rsidP="00123A09">
      <w:pPr>
        <w:pStyle w:val="ListBullet2"/>
      </w:pPr>
      <w:r w:rsidRPr="00123A09">
        <w:t>have vocational competency in constructing jewellery components at least to the level being assessed with relevant industry knowled</w:t>
      </w:r>
      <w:r w:rsidRPr="00123A09">
        <w:t>ge and experience</w:t>
      </w:r>
    </w:p>
    <w:p w:rsidR="00000000" w:rsidRPr="00123A09" w:rsidP="00123A09">
      <w:pPr>
        <w:pStyle w:val="ListBullet2"/>
      </w:pPr>
      <w:r w:rsidRPr="00123A09">
        <w:t xml:space="preserve">satisfy the assessor requirements in the </w:t>
      </w:r>
      <w:r w:rsidRPr="00123A09">
        <w:rPr>
          <w:rStyle w:val="Emphasis"/>
        </w:rPr>
        <w:t xml:space="preserve">Standards for Registered Training Organisations 2015 </w:t>
      </w:r>
      <w:r w:rsidRPr="00123A09">
        <w:t xml:space="preserve">or its replacement and comply with the </w:t>
      </w:r>
      <w:r w:rsidRPr="00123A09">
        <w:rPr>
          <w:rStyle w:val="Emphasis"/>
        </w:rPr>
        <w:t xml:space="preserve">National Vocational Education and Training Regulator Act 2011, </w:t>
      </w:r>
      <w:r w:rsidRPr="00123A09">
        <w:t>its replacement</w:t>
      </w:r>
      <w:r w:rsidRPr="00123A09">
        <w:rPr>
          <w:rStyle w:val="Emphasis"/>
        </w:rPr>
        <w:t xml:space="preserve"> </w:t>
      </w:r>
      <w:r w:rsidRPr="00123A09">
        <w:t xml:space="preserve">or equivalent legislation </w:t>
      </w:r>
      <w:r w:rsidRPr="00123A09">
        <w:t>covering VET regulation in a non-referring state/territory as the case requires</w:t>
      </w:r>
    </w:p>
    <w:p w:rsidR="00000000" w:rsidRPr="00123A09" w:rsidP="00123A09">
      <w:pPr>
        <w:pStyle w:val="ListBullet"/>
      </w:pPr>
      <w:r w:rsidRPr="00123A09">
        <w:t>Where possible assessment must occur in operational workplace situations. Where this is not possible or where personal safety or environmental damage are limiting factors, ass</w:t>
      </w:r>
      <w:r w:rsidRPr="00123A09">
        <w:t>essment must occur in a sufficiently rigorous simulated environment that reflects realistic operational workplace conditions. This must cover all aspects of workplace performance, including environment, task skills, task management skills, contingency mana</w:t>
      </w:r>
      <w:r w:rsidRPr="00123A09">
        <w:t>gement skills and job role environment skills</w:t>
      </w:r>
    </w:p>
    <w:p w:rsidR="00000000" w:rsidRPr="00123A09" w:rsidP="00123A09">
      <w:pPr>
        <w:pStyle w:val="ListBullet"/>
      </w:pPr>
      <w:r w:rsidRPr="00123A09">
        <w:t>Conditions for assessment must include access to all tools, equipment, materials and documentation required, including relevant workplace procedures, product and manufacturing specifications</w:t>
      </w:r>
    </w:p>
    <w:p w:rsidR="00000000" w:rsidRPr="00123A09" w:rsidP="00123A09">
      <w:pPr>
        <w:pStyle w:val="ListBullet"/>
      </w:pPr>
      <w:r w:rsidRPr="00123A09">
        <w:t>Assessment processe</w:t>
      </w:r>
      <w:r w:rsidRPr="00123A09">
        <w:t>s and techniques must be appropriate to the language, literacy and numeracy requirements of the work being performed and the needs of the candidate.</w:t>
      </w:r>
    </w:p>
    <w:p w:rsidR="00000000" w:rsidRPr="00123A09" w:rsidP="00123A09">
      <w:pPr>
        <w:pStyle w:val="AllowPageBreak"/>
      </w:pPr>
    </w:p>
    <w:p w:rsidR="00000000" w:rsidRPr="00123A09" w:rsidP="00123A09">
      <w:pPr>
        <w:pStyle w:val="Heading1"/>
      </w:pPr>
      <w:bookmarkStart w:id="5" w:name="O_946641"/>
      <w:bookmarkEnd w:id="5"/>
      <w:r w:rsidRPr="00123A09">
        <w:t>Links</w:t>
      </w:r>
    </w:p>
    <w:p w:rsidR="00000000" w:rsidRPr="00123A09" w:rsidP="00C55D89">
      <w:pPr>
        <w:pStyle w:val="BodyText"/>
      </w:pPr>
      <w:r w:rsidRPr="00123A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91C4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23A09" w:rsidP="00123A09"/>
    <w:sectPr w:rsidSect="00123A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A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A09" w:rsidRPr="00C55D89" w:rsidP="00C55D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A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D89" w:rsidP="00123A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5D89" w:rsidP="00123A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55D89" w:rsidP="00123A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A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D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3A09" w:rsidRPr="00C55D89" w:rsidP="00C55D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A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D89" w:rsidRPr="002D2AF8" w:rsidP="00123A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MEM19016 Construct jewellery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55D89" w:rsidP="00123A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FEE4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1614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7AFC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A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3A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3A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3A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3A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3A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3A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3A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3A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3A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3A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3A09"/>
  </w:style>
  <w:style w:type="character" w:customStyle="1" w:styleId="Heading1Char">
    <w:name w:val="Heading 1 Char"/>
    <w:basedOn w:val="DefaultParagraphFont"/>
    <w:link w:val="Heading1"/>
    <w:rsid w:val="00123A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3A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3A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3A0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3A0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23A09"/>
    <w:rPr>
      <w:i/>
    </w:rPr>
  </w:style>
  <w:style w:type="paragraph" w:customStyle="1" w:styleId="SuperHeading">
    <w:name w:val="SuperHeading"/>
    <w:basedOn w:val="Normal"/>
    <w:rsid w:val="00123A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3A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3A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3A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3A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3A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3A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3A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3A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3A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3A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3A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3A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3A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3A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3A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3A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3A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3A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3A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3A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3A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3A09"/>
    <w:rPr>
      <w:b/>
      <w:spacing w:val="0"/>
    </w:rPr>
  </w:style>
  <w:style w:type="paragraph" w:customStyle="1" w:styleId="SuperTitle">
    <w:name w:val="SuperTitle"/>
    <w:basedOn w:val="Title"/>
    <w:rsid w:val="00123A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3A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3A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3A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3A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3A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3A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3A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3A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3A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3A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3A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3A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3A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3A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3A09"/>
  </w:style>
  <w:style w:type="paragraph" w:styleId="TableofFigures">
    <w:name w:val="table of figures"/>
    <w:basedOn w:val="Normal"/>
    <w:next w:val="Normal"/>
    <w:semiHidden/>
    <w:rsid w:val="00123A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3A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3A09"/>
    <w:rPr>
      <w:rFonts w:ascii="Wingdings" w:hAnsi="Wingdings"/>
    </w:rPr>
  </w:style>
  <w:style w:type="paragraph" w:customStyle="1" w:styleId="TableHeading">
    <w:name w:val="Table Heading"/>
    <w:basedOn w:val="HeadingBase"/>
    <w:rsid w:val="00123A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3A09"/>
    <w:rPr>
      <w:color w:val="0033CC"/>
      <w:u w:val="none"/>
    </w:rPr>
  </w:style>
  <w:style w:type="paragraph" w:customStyle="1" w:styleId="BodyTextRight">
    <w:name w:val="Body Text Right"/>
    <w:basedOn w:val="BodyText"/>
    <w:rsid w:val="00123A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3A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3A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3A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3A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3A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3A09"/>
    <w:rPr>
      <w:sz w:val="32"/>
    </w:rPr>
  </w:style>
  <w:style w:type="paragraph" w:customStyle="1" w:styleId="HeadingProcedure">
    <w:name w:val="Heading Procedure"/>
    <w:basedOn w:val="HeadingBase"/>
    <w:next w:val="Normal"/>
    <w:rsid w:val="00123A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3A09"/>
    <w:pPr>
      <w:spacing w:before="60" w:after="60"/>
    </w:pPr>
  </w:style>
  <w:style w:type="paragraph" w:styleId="ListContinue">
    <w:name w:val="List Continue"/>
    <w:basedOn w:val="List"/>
    <w:rsid w:val="00123A09"/>
    <w:pPr>
      <w:ind w:firstLine="0"/>
    </w:pPr>
  </w:style>
  <w:style w:type="paragraph" w:customStyle="1" w:styleId="ListNote">
    <w:name w:val="List Note"/>
    <w:basedOn w:val="List"/>
    <w:rsid w:val="00123A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3A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3A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3A09"/>
    <w:rPr>
      <w:rFonts w:ascii="Courier New" w:hAnsi="Courier New"/>
    </w:rPr>
  </w:style>
  <w:style w:type="paragraph" w:customStyle="1" w:styleId="NoteBullet">
    <w:name w:val="Note Bullet"/>
    <w:basedOn w:val="Note"/>
    <w:rsid w:val="00123A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3A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3A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3A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3A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3A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3A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3A09"/>
    <w:rPr>
      <w:b/>
      <w:smallCaps/>
    </w:rPr>
  </w:style>
  <w:style w:type="paragraph" w:customStyle="1" w:styleId="TableListNumber">
    <w:name w:val="Table List Number"/>
    <w:basedOn w:val="ListNumber"/>
    <w:rsid w:val="00123A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3A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3A09"/>
    <w:pPr>
      <w:numPr>
        <w:numId w:val="9"/>
      </w:numPr>
    </w:pPr>
  </w:style>
  <w:style w:type="paragraph" w:customStyle="1" w:styleId="ListAlpha2">
    <w:name w:val="List Alpha 2"/>
    <w:basedOn w:val="List2"/>
    <w:rsid w:val="00123A09"/>
    <w:pPr>
      <w:numPr>
        <w:numId w:val="8"/>
      </w:numPr>
    </w:pPr>
  </w:style>
  <w:style w:type="paragraph" w:styleId="List2">
    <w:name w:val="List 2"/>
    <w:basedOn w:val="BodyText"/>
    <w:rsid w:val="00123A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3A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3A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3A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3A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3A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3A09"/>
    <w:pPr>
      <w:numPr>
        <w:numId w:val="4"/>
      </w:numPr>
    </w:pPr>
  </w:style>
  <w:style w:type="paragraph" w:styleId="ListContinue2">
    <w:name w:val="List Continue 2"/>
    <w:basedOn w:val="List2"/>
    <w:rsid w:val="00123A09"/>
    <w:pPr>
      <w:ind w:firstLine="0"/>
    </w:pPr>
  </w:style>
  <w:style w:type="paragraph" w:styleId="ListContinue3">
    <w:name w:val="List Continue 3"/>
    <w:basedOn w:val="List3"/>
    <w:rsid w:val="00123A09"/>
    <w:pPr>
      <w:ind w:left="1021" w:firstLine="0"/>
    </w:pPr>
  </w:style>
  <w:style w:type="paragraph" w:styleId="ListContinue4">
    <w:name w:val="List Continue 4"/>
    <w:basedOn w:val="List4"/>
    <w:rsid w:val="00123A09"/>
    <w:pPr>
      <w:ind w:firstLine="0"/>
    </w:pPr>
  </w:style>
  <w:style w:type="paragraph" w:styleId="ListContinue5">
    <w:name w:val="List Continue 5"/>
    <w:basedOn w:val="List5"/>
    <w:rsid w:val="00123A09"/>
    <w:pPr>
      <w:ind w:firstLine="0"/>
    </w:pPr>
  </w:style>
  <w:style w:type="paragraph" w:styleId="ListNumber3">
    <w:name w:val="List Number 3"/>
    <w:basedOn w:val="List3"/>
    <w:rsid w:val="00123A09"/>
    <w:pPr>
      <w:numPr>
        <w:numId w:val="5"/>
      </w:numPr>
    </w:pPr>
  </w:style>
  <w:style w:type="paragraph" w:styleId="ListNumber4">
    <w:name w:val="List Number 4"/>
    <w:basedOn w:val="List4"/>
    <w:rsid w:val="00123A09"/>
    <w:pPr>
      <w:numPr>
        <w:numId w:val="6"/>
      </w:numPr>
    </w:pPr>
  </w:style>
  <w:style w:type="paragraph" w:styleId="ListNumber5">
    <w:name w:val="List Number 5"/>
    <w:basedOn w:val="List5"/>
    <w:rsid w:val="00123A09"/>
    <w:pPr>
      <w:numPr>
        <w:numId w:val="7"/>
      </w:numPr>
    </w:pPr>
  </w:style>
  <w:style w:type="paragraph" w:styleId="BlockText">
    <w:name w:val="Block Text"/>
    <w:basedOn w:val="Normal"/>
    <w:rsid w:val="00123A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3A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3A09"/>
    <w:rPr>
      <w:sz w:val="16"/>
      <w:vertAlign w:val="superscript"/>
    </w:rPr>
  </w:style>
  <w:style w:type="character" w:customStyle="1" w:styleId="Symbols">
    <w:name w:val="Symbols"/>
    <w:basedOn w:val="DefaultParagraphFont"/>
    <w:rsid w:val="00123A09"/>
    <w:rPr>
      <w:rFonts w:ascii="Symbol" w:hAnsi="Symbol"/>
    </w:rPr>
  </w:style>
  <w:style w:type="character" w:customStyle="1" w:styleId="MenuOptions">
    <w:name w:val="Menu Options"/>
    <w:basedOn w:val="DefaultParagraphFont"/>
    <w:rsid w:val="00123A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3A09"/>
    <w:rPr>
      <w:b/>
    </w:rPr>
  </w:style>
  <w:style w:type="character" w:customStyle="1" w:styleId="Underlined">
    <w:name w:val="Underlined"/>
    <w:basedOn w:val="DefaultParagraphFont"/>
    <w:rsid w:val="00123A09"/>
    <w:rPr>
      <w:u w:val="single"/>
    </w:rPr>
  </w:style>
  <w:style w:type="paragraph" w:customStyle="1" w:styleId="TableBodyTextRight">
    <w:name w:val="Table Body Text Right"/>
    <w:basedOn w:val="TableBodyText"/>
    <w:rsid w:val="00123A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3A09"/>
    <w:rPr>
      <w:sz w:val="18"/>
    </w:rPr>
  </w:style>
  <w:style w:type="paragraph" w:customStyle="1" w:styleId="BodySmallRight">
    <w:name w:val="Body Small Right"/>
    <w:basedOn w:val="BodyTextRight"/>
    <w:rsid w:val="00123A09"/>
    <w:rPr>
      <w:sz w:val="18"/>
      <w:szCs w:val="18"/>
    </w:rPr>
  </w:style>
  <w:style w:type="paragraph" w:customStyle="1" w:styleId="MarginEdition">
    <w:name w:val="Margin Edition"/>
    <w:basedOn w:val="MarginNote"/>
    <w:rsid w:val="00123A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3A09"/>
    <w:rPr>
      <w:sz w:val="2"/>
      <w:szCs w:val="2"/>
    </w:rPr>
  </w:style>
  <w:style w:type="character" w:customStyle="1" w:styleId="Small">
    <w:name w:val="Small"/>
    <w:basedOn w:val="DefaultParagraphFont"/>
    <w:rsid w:val="00123A09"/>
    <w:rPr>
      <w:sz w:val="16"/>
    </w:rPr>
  </w:style>
  <w:style w:type="paragraph" w:customStyle="1" w:styleId="WideTable">
    <w:name w:val="Wide Table"/>
    <w:basedOn w:val="Normal"/>
    <w:rsid w:val="00123A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3A09"/>
  </w:style>
  <w:style w:type="paragraph" w:styleId="Quote">
    <w:name w:val="Quote"/>
    <w:basedOn w:val="Heading1"/>
    <w:link w:val="QuoteChar"/>
    <w:qFormat/>
    <w:rsid w:val="00123A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3A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3A09"/>
    <w:pPr>
      <w:pageBreakBefore/>
    </w:pPr>
  </w:style>
  <w:style w:type="paragraph" w:customStyle="1" w:styleId="Border">
    <w:name w:val="Border"/>
    <w:basedOn w:val="Normal"/>
    <w:qFormat/>
    <w:rsid w:val="00123A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3A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A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A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3A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3A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3A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3A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3A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3A09"/>
    <w:rPr>
      <w:u w:val="single"/>
    </w:rPr>
  </w:style>
  <w:style w:type="character" w:customStyle="1" w:styleId="BoldandItalics">
    <w:name w:val="Bold and Italics"/>
    <w:qFormat/>
    <w:rsid w:val="00123A09"/>
    <w:rPr>
      <w:b/>
      <w:i/>
      <w:u w:val="none"/>
    </w:rPr>
  </w:style>
  <w:style w:type="paragraph" w:styleId="BalloonText">
    <w:name w:val="Balloon Text"/>
    <w:basedOn w:val="Normal"/>
    <w:link w:val="BalloonTextChar"/>
    <w:rsid w:val="00123A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3A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3A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3A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3A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3A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3A09"/>
    <w:pPr>
      <w:spacing w:before="0" w:after="0"/>
    </w:pPr>
  </w:style>
  <w:style w:type="paragraph" w:customStyle="1" w:styleId="BodyTextBold">
    <w:name w:val="Body Text Bold"/>
    <w:basedOn w:val="BodyText"/>
    <w:qFormat/>
    <w:rsid w:val="00123A09"/>
    <w:rPr>
      <w:b/>
    </w:rPr>
  </w:style>
  <w:style w:type="character" w:styleId="Hyperlink">
    <w:name w:val="Hyperlink"/>
    <w:basedOn w:val="DefaultParagraphFont"/>
    <w:uiPriority w:val="99"/>
    <w:unhideWhenUsed/>
    <w:rsid w:val="00C55D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3049</Characters>
  <Application>Microsoft Office Word</Application>
  <DocSecurity>0</DocSecurity>
  <Lines>66</Lines>
  <Paragraphs>40</Paragraphs>
  <ScaleCrop>false</ScaleCrop>
  <Company>Author-it Software Corporation Ltd.</Company>
  <LinksUpToDate>false</LinksUpToDate>
  <CharactersWithSpaces>3462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MEM19016 Construct jewellery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2023-02-03T07:34:00Z</dcterms:created>
  <dcterms:modified xsi:type="dcterms:W3CDTF">2023-02-03T07:34:00Z</dcterms:modified>
</cp:coreProperties>
</file>