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BCE" w:rsidP="00E93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MEM19015 Perform jewellery enamelling</w:t>
      </w:r>
      <w:r>
        <w:fldChar w:fldCharType="end"/>
      </w:r>
    </w:p>
    <w:p w:rsidR="00E93BCE" w:rsidP="00E93BCE">
      <w:pPr>
        <w:pStyle w:val="Version"/>
        <w:sectPr w:rsidSect="00F47A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A87" w:rsidP="00F47A87">
      <w:pPr>
        <w:pStyle w:val="SuperHeading"/>
      </w:pPr>
      <w:r w:rsidRPr="00F47A87">
        <w:t>MEM19015 Perform jewellery enamelling</w:t>
      </w:r>
    </w:p>
    <w:p w:rsidR="00000000" w:rsidRPr="00F47A87" w:rsidP="00F47A87">
      <w:pPr>
        <w:pStyle w:val="Heading1"/>
      </w:pPr>
      <w:bookmarkStart w:id="1" w:name="O_946627"/>
      <w:bookmarkEnd w:id="1"/>
      <w:r w:rsidRPr="00F47A87">
        <w:t>Modification History</w:t>
      </w:r>
    </w:p>
    <w:p w:rsidR="00000000" w:rsidRPr="00F47A87" w:rsidP="00E93BCE">
      <w:pPr>
        <w:pStyle w:val="BodyText"/>
      </w:pPr>
      <w:r w:rsidRPr="00F47A87">
        <w:t xml:space="preserve">Release 1. Supersedes and is equivalent to MEM19015B Perform jewellery enamelling </w:t>
      </w:r>
    </w:p>
    <w:p w:rsidR="00000000" w:rsidRPr="00F47A87" w:rsidP="00F47A87">
      <w:pPr>
        <w:pStyle w:val="Heading1"/>
      </w:pPr>
      <w:bookmarkStart w:id="2" w:name="O_946635"/>
      <w:bookmarkEnd w:id="2"/>
      <w:r w:rsidRPr="00F47A87">
        <w:t>Application</w:t>
      </w:r>
    </w:p>
    <w:p w:rsidR="00000000" w:rsidRPr="00F47A87" w:rsidP="00E93BCE">
      <w:pPr>
        <w:pStyle w:val="BodyText"/>
      </w:pPr>
      <w:r w:rsidRPr="00F47A87">
        <w:t>This unit of competency defines the skills and knowledge required to perform enamelling techniques applied to precious meta</w:t>
      </w:r>
      <w:r w:rsidRPr="00F47A87">
        <w:t>ls and some base metals using torch and kiln methods.</w:t>
      </w:r>
    </w:p>
    <w:p w:rsidR="00000000" w:rsidRPr="00F47A87" w:rsidP="00E93BCE">
      <w:pPr>
        <w:pStyle w:val="BodyText"/>
      </w:pPr>
      <w:r w:rsidRPr="00F47A87">
        <w:t>This unit does not apply to complex three-dimensional forms and plique-à-jour techniques.</w:t>
      </w:r>
    </w:p>
    <w:p w:rsidR="00000000" w:rsidRPr="00F47A87" w:rsidP="00E93BCE">
      <w:pPr>
        <w:pStyle w:val="BodyText"/>
      </w:pPr>
      <w:r w:rsidRPr="00F47A87">
        <w:t>No licensing, legislative or certification requirements apply to this unit at the time of publication.</w:t>
      </w:r>
    </w:p>
    <w:p w:rsidR="00000000" w:rsidRPr="00F47A87" w:rsidP="00F47A87">
      <w:pPr>
        <w:pStyle w:val="BodyText"/>
      </w:pPr>
      <w:r w:rsidRPr="00F47A87">
        <w:rPr>
          <w:rStyle w:val="SpecialBold"/>
        </w:rPr>
        <w:t>Band</w:t>
      </w:r>
      <w:r w:rsidRPr="00F47A87">
        <w:t>:</w:t>
      </w:r>
      <w:r w:rsidRPr="00F47A87">
        <w:tab/>
      </w:r>
      <w:r w:rsidRPr="00F47A87">
        <w:rPr>
          <w:rStyle w:val="SpecialBold"/>
        </w:rPr>
        <w:t>A</w:t>
      </w:r>
    </w:p>
    <w:p w:rsidR="00000000" w:rsidRPr="00F47A87" w:rsidP="00F47A87">
      <w:pPr>
        <w:pStyle w:val="BodyText"/>
      </w:pPr>
      <w:r w:rsidRPr="00F47A87">
        <w:rPr>
          <w:rStyle w:val="SpecialBold"/>
        </w:rPr>
        <w:t>Unit Weight</w:t>
      </w:r>
      <w:r w:rsidRPr="00F47A87">
        <w:t>:</w:t>
      </w:r>
      <w:r w:rsidRPr="00F47A87">
        <w:tab/>
      </w:r>
      <w:r w:rsidRPr="00F47A87">
        <w:rPr>
          <w:rStyle w:val="SpecialBold"/>
        </w:rPr>
        <w:t>4</w:t>
      </w:r>
    </w:p>
    <w:p w:rsidR="00000000" w:rsidRPr="00F47A87" w:rsidP="00F47A87">
      <w:pPr>
        <w:pStyle w:val="AllowPageBreak"/>
      </w:pPr>
    </w:p>
    <w:p w:rsidR="00000000" w:rsidRPr="00F47A87" w:rsidP="00F47A87">
      <w:pPr>
        <w:pStyle w:val="Heading1"/>
      </w:pPr>
      <w:bookmarkStart w:id="3" w:name="O_946634"/>
      <w:bookmarkEnd w:id="3"/>
      <w:r w:rsidRPr="00F47A87">
        <w:t>Pre-requisite Unit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9"/>
        <w:gridCol w:w="7073"/>
      </w:tblGrid>
      <w:tr w:rsidTr="00F47A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MEM11011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Undertake manual handling</w:t>
            </w:r>
          </w:p>
        </w:tc>
      </w:tr>
      <w:tr w:rsidTr="00F47A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MEM13003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Work safely with industrial chemicals and materials</w:t>
            </w:r>
          </w:p>
        </w:tc>
      </w:tr>
      <w:tr w:rsidTr="00F47A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MEM13015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Work safely and effectively in manufacturing and engineering</w:t>
            </w:r>
          </w:p>
        </w:tc>
      </w:tr>
      <w:tr w:rsidTr="00F47A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MEM16006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Organise and communicate information</w:t>
            </w:r>
          </w:p>
        </w:tc>
      </w:tr>
      <w:tr w:rsidTr="00F47A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MEM18001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A87" w:rsidP="00F47A87">
            <w:pPr>
              <w:pStyle w:val="BodyText"/>
            </w:pPr>
            <w:r w:rsidRPr="00F47A87">
              <w:t>Use hand tools</w:t>
            </w:r>
          </w:p>
        </w:tc>
      </w:tr>
    </w:tbl>
    <w:p w:rsidR="00000000" w:rsidRPr="00F47A87" w:rsidP="00F47A87">
      <w:pPr>
        <w:pStyle w:val="BodyText"/>
      </w:pPr>
    </w:p>
    <w:p w:rsidR="00000000" w:rsidRPr="00F47A87" w:rsidP="00F47A87">
      <w:pPr>
        <w:pStyle w:val="AllowPageBreak"/>
      </w:pPr>
    </w:p>
    <w:p w:rsidR="00000000" w:rsidRPr="00F47A87" w:rsidP="00F47A87">
      <w:pPr>
        <w:pStyle w:val="Heading1"/>
      </w:pPr>
      <w:bookmarkStart w:id="4" w:name="O_946633"/>
      <w:bookmarkEnd w:id="4"/>
      <w:r w:rsidRPr="00F47A87">
        <w:t>Competency Field</w:t>
      </w:r>
    </w:p>
    <w:p w:rsidR="00000000" w:rsidRPr="00F47A87" w:rsidP="00E93BCE">
      <w:pPr>
        <w:pStyle w:val="BodyText"/>
      </w:pPr>
      <w:r w:rsidRPr="00F47A87">
        <w:t>Jewellery and horological</w:t>
      </w:r>
    </w:p>
    <w:p w:rsidR="00000000" w:rsidRPr="00F47A87" w:rsidP="00F47A87">
      <w:pPr>
        <w:pStyle w:val="Heading1"/>
      </w:pPr>
      <w:bookmarkStart w:id="5" w:name="O_946631"/>
      <w:bookmarkEnd w:id="5"/>
      <w:r w:rsidRPr="00F47A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Performance criteria describe the perf</w:t>
            </w:r>
            <w:r w:rsidRPr="00F47A87">
              <w:t>ormance needed to demonstrate achievement of the element.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A87" w:rsidP="00F47A87">
            <w:pPr>
              <w:pStyle w:val="BodyText"/>
            </w:pPr>
            <w:r w:rsidRPr="00F47A8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Follow standard operating procedures (SOPs)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Comply with work health and safety (WHS) requirements at all times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Use appropriate personal protective equipment (PPE) in accordance with SOPs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Identify job requirements from specifications, drawings, job sheets or work instructions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A87" w:rsidP="00F47A87">
            <w:pPr>
              <w:pStyle w:val="BodyText"/>
            </w:pPr>
            <w:r w:rsidRPr="00F47A8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rPr>
                <w:rStyle w:val="SpecialBold"/>
              </w:rPr>
              <w:t>Prepare items and materials for enamelling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Assess item materials and construction for enamelling suitability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Select appropriate enamelling technique and materials for the required outcome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Prepare enamels for enamelling operation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Prepare metal surfaces for enamelling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Carry out additional processing of item prior to enamelling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A87" w:rsidP="00F47A87">
            <w:pPr>
              <w:pStyle w:val="BodyText"/>
            </w:pPr>
            <w:r w:rsidRPr="00F47A8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rPr>
                <w:rStyle w:val="SpecialBold"/>
              </w:rPr>
              <w:t>Enamel jewellery items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Set up equipment and items for firing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Enamel items to specification and complete firing process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A87" w:rsidP="00F47A87">
            <w:pPr>
              <w:pStyle w:val="BodyText"/>
            </w:pPr>
            <w:r w:rsidRPr="00F47A8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rPr>
                <w:rStyle w:val="SpecialBold"/>
              </w:rPr>
              <w:t>Finish and inspect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Apply final finishes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Check product for compliance to specifications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Identify and rectify faults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A87" w:rsidP="00F47A87">
            <w:pPr>
              <w:pStyle w:val="BodyText"/>
            </w:pPr>
            <w:r w:rsidRPr="00F47A87">
              <w:t>Record relevant job information</w:t>
            </w:r>
          </w:p>
        </w:tc>
      </w:tr>
    </w:tbl>
    <w:p w:rsidR="00000000" w:rsidRPr="00F47A87" w:rsidP="00F47A87">
      <w:pPr>
        <w:pStyle w:val="BodyText"/>
      </w:pPr>
    </w:p>
    <w:p w:rsidR="00000000" w:rsidRPr="00F47A87" w:rsidP="00F47A87">
      <w:pPr>
        <w:pStyle w:val="AllowPageBreak"/>
      </w:pPr>
    </w:p>
    <w:p w:rsidR="00000000" w:rsidRPr="00F47A87" w:rsidP="00F47A87">
      <w:pPr>
        <w:pStyle w:val="Heading1"/>
      </w:pPr>
      <w:bookmarkStart w:id="6" w:name="O_946630"/>
      <w:bookmarkEnd w:id="6"/>
      <w:r w:rsidRPr="00F47A87">
        <w:t>Foundation Skills</w:t>
      </w:r>
    </w:p>
    <w:p w:rsidR="00000000" w:rsidRPr="00F47A87" w:rsidP="00E93BCE">
      <w:pPr>
        <w:pStyle w:val="BodyText"/>
      </w:pPr>
      <w:r w:rsidRPr="00F47A87">
        <w:t>Thi</w:t>
      </w:r>
      <w:r w:rsidRPr="00F47A87">
        <w:t xml:space="preserve">s section describes those required skills (reading, writing, oral communication and numeracy) that are essential to workplace performance in this unit of competency.  </w:t>
      </w:r>
    </w:p>
    <w:p w:rsidR="00000000" w:rsidRPr="00F47A87" w:rsidP="00E93BCE">
      <w:pPr>
        <w:pStyle w:val="BodyText"/>
      </w:pPr>
      <w:r w:rsidRPr="00F47A87">
        <w:t xml:space="preserve">Foundation skills essential to performance are explicit in the performance criteria of </w:t>
      </w:r>
      <w:r w:rsidRPr="00F47A87">
        <w:t>this unit of competency.</w:t>
      </w:r>
    </w:p>
    <w:p w:rsidR="00000000" w:rsidRPr="00F47A87" w:rsidP="00F47A87">
      <w:pPr>
        <w:pStyle w:val="Heading1"/>
      </w:pPr>
      <w:bookmarkStart w:id="7" w:name="O_946629"/>
      <w:bookmarkEnd w:id="7"/>
      <w:r w:rsidRPr="00F47A8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t>This field allows for different work environments and conditions that may affect performance. Essential operating conditions that may be present (depending on the work situation, needs of the ca</w:t>
            </w:r>
            <w:r w:rsidRPr="00F47A87">
              <w:t>ndidate, accessibility of the item, and local industry and regional contexts) are included.</w:t>
            </w: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rPr>
                <w:rStyle w:val="SpecialBold"/>
              </w:rPr>
              <w:t>Enamelling techniques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A87" w:rsidP="00F47A87">
            <w:pPr>
              <w:pStyle w:val="ListBullet"/>
            </w:pPr>
            <w:r w:rsidRPr="00F47A87">
              <w:t>torch firing</w:t>
            </w:r>
          </w:p>
          <w:p w:rsidR="00000000" w:rsidRPr="00F47A87" w:rsidP="00F47A87">
            <w:pPr>
              <w:pStyle w:val="ListBullet"/>
            </w:pPr>
            <w:r w:rsidRPr="00F47A87">
              <w:t xml:space="preserve">kiln firing </w:t>
            </w:r>
          </w:p>
          <w:p w:rsidR="00000000" w:rsidRPr="00F47A87" w:rsidP="00F47A87">
            <w:pPr>
              <w:pStyle w:val="ListBullet"/>
            </w:pPr>
            <w:r w:rsidRPr="00F47A87">
              <w:t>dusting</w:t>
            </w:r>
          </w:p>
          <w:p w:rsidR="00000000" w:rsidRPr="00F47A87" w:rsidP="00F47A87">
            <w:pPr>
              <w:pStyle w:val="ListBullet"/>
            </w:pPr>
            <w:r w:rsidRPr="00F47A87">
              <w:t>cloisonné</w:t>
            </w:r>
          </w:p>
          <w:p w:rsidR="00000000" w:rsidRPr="00F47A87" w:rsidP="00F47A87">
            <w:pPr>
              <w:pStyle w:val="ListBullet"/>
            </w:pPr>
            <w:r w:rsidRPr="00F47A87">
              <w:t xml:space="preserve">basse-taille </w:t>
            </w:r>
          </w:p>
          <w:p w:rsidR="00000000" w:rsidRPr="00F47A87" w:rsidP="00F47A87">
            <w:pPr>
              <w:pStyle w:val="ListBullet"/>
            </w:pPr>
            <w:r w:rsidRPr="00F47A87">
              <w:t>champlevé</w:t>
            </w:r>
          </w:p>
          <w:p w:rsidR="00000000" w:rsidP="00F47A87">
            <w:pPr>
              <w:pStyle w:val="BodyText"/>
              <w:rPr>
                <w:lang w:val="en-NZ"/>
              </w:rPr>
            </w:pP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rPr>
                <w:rStyle w:val="SpecialBold"/>
              </w:rPr>
              <w:t>Items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A87" w:rsidP="00F47A87">
            <w:pPr>
              <w:pStyle w:val="ListBullet"/>
            </w:pPr>
            <w:r w:rsidRPr="00F47A87">
              <w:t xml:space="preserve">rings </w:t>
            </w:r>
          </w:p>
          <w:p w:rsidR="00000000" w:rsidRPr="00F47A87" w:rsidP="00F47A87">
            <w:pPr>
              <w:pStyle w:val="ListBullet"/>
            </w:pPr>
            <w:r w:rsidRPr="00F47A87">
              <w:t>brooches</w:t>
            </w:r>
          </w:p>
          <w:p w:rsidR="00000000" w:rsidRPr="00F47A87" w:rsidP="00F47A87">
            <w:pPr>
              <w:pStyle w:val="ListBullet"/>
            </w:pPr>
            <w:r w:rsidRPr="00F47A87">
              <w:t>earrings</w:t>
            </w:r>
          </w:p>
          <w:p w:rsidR="00000000" w:rsidRPr="00F47A87" w:rsidP="00F47A87">
            <w:pPr>
              <w:pStyle w:val="ListBullet"/>
            </w:pPr>
            <w:r w:rsidRPr="00F47A87">
              <w:t xml:space="preserve">pendants </w:t>
            </w:r>
          </w:p>
          <w:p w:rsidR="00000000" w:rsidRPr="00F47A87" w:rsidP="00F47A87">
            <w:pPr>
              <w:pStyle w:val="ListBullet"/>
            </w:pPr>
            <w:r w:rsidRPr="00F47A87">
              <w:t>other small-scale objects</w:t>
            </w:r>
          </w:p>
          <w:p w:rsidR="00000000" w:rsidP="00F47A87">
            <w:pPr>
              <w:pStyle w:val="BodyText"/>
              <w:rPr>
                <w:lang w:val="en-NZ"/>
              </w:rPr>
            </w:pPr>
          </w:p>
        </w:tc>
      </w:tr>
      <w:tr w:rsidTr="00F4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A87">
            <w:pPr>
              <w:pStyle w:val="BodyText"/>
              <w:rPr>
                <w:lang w:val="en-NZ"/>
              </w:rPr>
            </w:pPr>
            <w:r w:rsidRPr="00F47A87">
              <w:rPr>
                <w:rStyle w:val="SpecialBold"/>
              </w:rPr>
              <w:t>Additional processing includes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A87" w:rsidP="00F47A87">
            <w:pPr>
              <w:pStyle w:val="ListBullet"/>
            </w:pPr>
            <w:r w:rsidRPr="00F47A87">
              <w:t>stamping</w:t>
            </w:r>
          </w:p>
          <w:p w:rsidR="00000000" w:rsidRPr="00F47A87" w:rsidP="00F47A87">
            <w:pPr>
              <w:pStyle w:val="ListBullet"/>
            </w:pPr>
            <w:r w:rsidRPr="00F47A87">
              <w:t>engraving</w:t>
            </w:r>
          </w:p>
          <w:p w:rsidR="00000000" w:rsidRPr="00F47A87" w:rsidP="00F47A87">
            <w:pPr>
              <w:pStyle w:val="ListBullet"/>
            </w:pPr>
            <w:r w:rsidRPr="00F47A87">
              <w:t>saw piercing</w:t>
            </w:r>
          </w:p>
          <w:p w:rsidR="00000000" w:rsidRPr="00F47A87" w:rsidP="00F47A87">
            <w:pPr>
              <w:pStyle w:val="ListBullet"/>
            </w:pPr>
            <w:r w:rsidRPr="00F47A87">
              <w:t>chasing</w:t>
            </w:r>
          </w:p>
          <w:p w:rsidR="00000000" w:rsidRPr="00F47A87" w:rsidP="00F47A87">
            <w:pPr>
              <w:pStyle w:val="ListBullet"/>
            </w:pPr>
            <w:r w:rsidRPr="00F47A87">
              <w:t>oxidising</w:t>
            </w:r>
          </w:p>
          <w:p w:rsidR="00000000" w:rsidRPr="00F47A87" w:rsidP="00F47A87">
            <w:pPr>
              <w:pStyle w:val="ListBullet"/>
            </w:pPr>
            <w:r w:rsidRPr="00F47A87">
              <w:t>roller pressing</w:t>
            </w:r>
          </w:p>
          <w:p w:rsidR="00000000" w:rsidRPr="00F47A87" w:rsidP="00F47A87">
            <w:pPr>
              <w:pStyle w:val="BodyText"/>
            </w:pPr>
          </w:p>
        </w:tc>
      </w:tr>
    </w:tbl>
    <w:p w:rsidR="00000000" w:rsidRPr="00F47A87" w:rsidP="00F47A87">
      <w:pPr>
        <w:pStyle w:val="BodyText"/>
      </w:pPr>
    </w:p>
    <w:p w:rsidR="00000000" w:rsidRPr="00F47A87" w:rsidP="00F47A87">
      <w:pPr>
        <w:pStyle w:val="AllowPageBreak"/>
      </w:pPr>
    </w:p>
    <w:p w:rsidR="00000000" w:rsidRPr="00F47A87" w:rsidP="00F47A87">
      <w:pPr>
        <w:pStyle w:val="Heading1"/>
      </w:pPr>
      <w:bookmarkStart w:id="8" w:name="O_946628"/>
      <w:bookmarkEnd w:id="8"/>
      <w:r w:rsidRPr="00F47A87">
        <w:t>Unit Mapping Information</w:t>
      </w:r>
    </w:p>
    <w:p w:rsidR="00000000" w:rsidRPr="00F47A87" w:rsidP="00E93BCE">
      <w:pPr>
        <w:pStyle w:val="BodyText"/>
      </w:pPr>
      <w:r w:rsidRPr="00F47A87">
        <w:t xml:space="preserve">Release 1. Supersedes and is equivalent to MEM19015B Perform jewellery enamelling </w:t>
      </w:r>
    </w:p>
    <w:p w:rsidR="00000000" w:rsidRPr="00F47A87" w:rsidP="00F47A87">
      <w:pPr>
        <w:pStyle w:val="Heading1"/>
      </w:pPr>
      <w:bookmarkStart w:id="9" w:name="O_946621"/>
      <w:bookmarkEnd w:id="9"/>
      <w:r w:rsidRPr="00F47A87">
        <w:t>Links</w:t>
      </w:r>
    </w:p>
    <w:p w:rsidR="00000000" w:rsidRPr="00F47A87" w:rsidP="00E93BCE">
      <w:pPr>
        <w:pStyle w:val="BodyText"/>
      </w:pPr>
      <w:r w:rsidRPr="00F47A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0747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7A87" w:rsidP="00F47A87"/>
    <w:sectPr w:rsidSect="00F47A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A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A87" w:rsidRPr="00E93BCE" w:rsidP="00E93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A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CE" w:rsidP="00F47A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BCE" w:rsidP="00F47A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3BCE" w:rsidP="00F47A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A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A87" w:rsidRPr="00E93BCE" w:rsidP="00E93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A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CE" w:rsidRPr="002D2AF8" w:rsidP="00F47A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MEM19015 Perform jewellery enamelling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93BCE" w:rsidP="00F47A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AA4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0875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A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A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A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A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A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A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A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A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A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A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A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A87"/>
  </w:style>
  <w:style w:type="character" w:customStyle="1" w:styleId="Heading1Char">
    <w:name w:val="Heading 1 Char"/>
    <w:basedOn w:val="DefaultParagraphFont"/>
    <w:link w:val="Heading1"/>
    <w:rsid w:val="00F47A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A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A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A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A87"/>
    <w:rPr>
      <w:b/>
      <w:spacing w:val="0"/>
    </w:rPr>
  </w:style>
  <w:style w:type="paragraph" w:customStyle="1" w:styleId="SuperHeading">
    <w:name w:val="SuperHeading"/>
    <w:basedOn w:val="Normal"/>
    <w:rsid w:val="00F47A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A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A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A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A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A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A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A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A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A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A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A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A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A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A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A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A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A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A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A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A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A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A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A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A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A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A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A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A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A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A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A87"/>
    <w:rPr>
      <w:i/>
    </w:rPr>
  </w:style>
  <w:style w:type="paragraph" w:styleId="Caption">
    <w:name w:val="caption"/>
    <w:basedOn w:val="BodyText"/>
    <w:next w:val="Normal"/>
    <w:qFormat/>
    <w:rsid w:val="00F47A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A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A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A87"/>
  </w:style>
  <w:style w:type="paragraph" w:styleId="TableofFigures">
    <w:name w:val="table of figures"/>
    <w:basedOn w:val="Normal"/>
    <w:next w:val="Normal"/>
    <w:semiHidden/>
    <w:rsid w:val="00F47A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A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7A87"/>
    <w:rPr>
      <w:rFonts w:ascii="Wingdings" w:hAnsi="Wingdings"/>
    </w:rPr>
  </w:style>
  <w:style w:type="paragraph" w:customStyle="1" w:styleId="TableHeading">
    <w:name w:val="Table Heading"/>
    <w:basedOn w:val="HeadingBase"/>
    <w:rsid w:val="00F47A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A87"/>
    <w:rPr>
      <w:color w:val="0033CC"/>
      <w:u w:val="none"/>
    </w:rPr>
  </w:style>
  <w:style w:type="paragraph" w:customStyle="1" w:styleId="BodyTextRight">
    <w:name w:val="Body Text Right"/>
    <w:basedOn w:val="BodyText"/>
    <w:rsid w:val="00F47A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A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A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A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A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A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A87"/>
    <w:rPr>
      <w:sz w:val="32"/>
    </w:rPr>
  </w:style>
  <w:style w:type="paragraph" w:customStyle="1" w:styleId="HeadingProcedure">
    <w:name w:val="Heading Procedure"/>
    <w:basedOn w:val="HeadingBase"/>
    <w:next w:val="Normal"/>
    <w:rsid w:val="00F47A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A87"/>
    <w:pPr>
      <w:spacing w:before="60" w:after="60"/>
    </w:pPr>
  </w:style>
  <w:style w:type="paragraph" w:styleId="ListContinue">
    <w:name w:val="List Continue"/>
    <w:basedOn w:val="List"/>
    <w:rsid w:val="00F47A87"/>
    <w:pPr>
      <w:ind w:firstLine="0"/>
    </w:pPr>
  </w:style>
  <w:style w:type="paragraph" w:customStyle="1" w:styleId="ListNote">
    <w:name w:val="List Note"/>
    <w:basedOn w:val="List"/>
    <w:rsid w:val="00F47A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A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A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A87"/>
    <w:rPr>
      <w:rFonts w:ascii="Courier New" w:hAnsi="Courier New"/>
    </w:rPr>
  </w:style>
  <w:style w:type="paragraph" w:customStyle="1" w:styleId="NoteBullet">
    <w:name w:val="Note Bullet"/>
    <w:basedOn w:val="Note"/>
    <w:rsid w:val="00F47A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A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A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A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A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7A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A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A87"/>
    <w:rPr>
      <w:b/>
      <w:smallCaps/>
    </w:rPr>
  </w:style>
  <w:style w:type="paragraph" w:customStyle="1" w:styleId="TableListNumber">
    <w:name w:val="Table List Number"/>
    <w:basedOn w:val="ListNumber"/>
    <w:rsid w:val="00F47A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A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A87"/>
    <w:pPr>
      <w:numPr>
        <w:numId w:val="8"/>
      </w:numPr>
    </w:pPr>
  </w:style>
  <w:style w:type="paragraph" w:customStyle="1" w:styleId="ListAlpha2">
    <w:name w:val="List Alpha 2"/>
    <w:basedOn w:val="List2"/>
    <w:rsid w:val="00F47A87"/>
    <w:pPr>
      <w:numPr>
        <w:numId w:val="7"/>
      </w:numPr>
    </w:pPr>
  </w:style>
  <w:style w:type="paragraph" w:styleId="List2">
    <w:name w:val="List 2"/>
    <w:basedOn w:val="BodyText"/>
    <w:rsid w:val="00F47A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A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A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A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A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A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7A87"/>
    <w:pPr>
      <w:numPr>
        <w:numId w:val="3"/>
      </w:numPr>
    </w:pPr>
  </w:style>
  <w:style w:type="paragraph" w:styleId="ListContinue2">
    <w:name w:val="List Continue 2"/>
    <w:basedOn w:val="List2"/>
    <w:rsid w:val="00F47A87"/>
    <w:pPr>
      <w:ind w:firstLine="0"/>
    </w:pPr>
  </w:style>
  <w:style w:type="paragraph" w:styleId="ListContinue3">
    <w:name w:val="List Continue 3"/>
    <w:basedOn w:val="List3"/>
    <w:rsid w:val="00F47A87"/>
    <w:pPr>
      <w:ind w:left="1021" w:firstLine="0"/>
    </w:pPr>
  </w:style>
  <w:style w:type="paragraph" w:styleId="ListContinue4">
    <w:name w:val="List Continue 4"/>
    <w:basedOn w:val="List4"/>
    <w:rsid w:val="00F47A87"/>
    <w:pPr>
      <w:ind w:firstLine="0"/>
    </w:pPr>
  </w:style>
  <w:style w:type="paragraph" w:styleId="ListContinue5">
    <w:name w:val="List Continue 5"/>
    <w:basedOn w:val="List5"/>
    <w:rsid w:val="00F47A87"/>
    <w:pPr>
      <w:ind w:firstLine="0"/>
    </w:pPr>
  </w:style>
  <w:style w:type="paragraph" w:styleId="ListNumber3">
    <w:name w:val="List Number 3"/>
    <w:basedOn w:val="List3"/>
    <w:rsid w:val="00F47A87"/>
    <w:pPr>
      <w:numPr>
        <w:numId w:val="4"/>
      </w:numPr>
    </w:pPr>
  </w:style>
  <w:style w:type="paragraph" w:styleId="ListNumber4">
    <w:name w:val="List Number 4"/>
    <w:basedOn w:val="List4"/>
    <w:rsid w:val="00F47A87"/>
    <w:pPr>
      <w:numPr>
        <w:numId w:val="5"/>
      </w:numPr>
    </w:pPr>
  </w:style>
  <w:style w:type="paragraph" w:styleId="ListNumber5">
    <w:name w:val="List Number 5"/>
    <w:basedOn w:val="List5"/>
    <w:rsid w:val="00F47A87"/>
    <w:pPr>
      <w:numPr>
        <w:numId w:val="6"/>
      </w:numPr>
    </w:pPr>
  </w:style>
  <w:style w:type="paragraph" w:styleId="BlockText">
    <w:name w:val="Block Text"/>
    <w:basedOn w:val="Normal"/>
    <w:rsid w:val="00F47A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A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A87"/>
    <w:rPr>
      <w:sz w:val="16"/>
      <w:vertAlign w:val="superscript"/>
    </w:rPr>
  </w:style>
  <w:style w:type="character" w:customStyle="1" w:styleId="Symbols">
    <w:name w:val="Symbols"/>
    <w:basedOn w:val="DefaultParagraphFont"/>
    <w:rsid w:val="00F47A87"/>
    <w:rPr>
      <w:rFonts w:ascii="Symbol" w:hAnsi="Symbol"/>
    </w:rPr>
  </w:style>
  <w:style w:type="character" w:customStyle="1" w:styleId="MenuOptions">
    <w:name w:val="Menu Options"/>
    <w:basedOn w:val="DefaultParagraphFont"/>
    <w:rsid w:val="00F47A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A87"/>
    <w:rPr>
      <w:b/>
    </w:rPr>
  </w:style>
  <w:style w:type="character" w:customStyle="1" w:styleId="Underlined">
    <w:name w:val="Underlined"/>
    <w:basedOn w:val="DefaultParagraphFont"/>
    <w:rsid w:val="00F47A87"/>
    <w:rPr>
      <w:u w:val="single"/>
    </w:rPr>
  </w:style>
  <w:style w:type="paragraph" w:customStyle="1" w:styleId="TableBodyTextRight">
    <w:name w:val="Table Body Text Right"/>
    <w:basedOn w:val="TableBodyText"/>
    <w:rsid w:val="00F47A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A87"/>
    <w:rPr>
      <w:sz w:val="18"/>
    </w:rPr>
  </w:style>
  <w:style w:type="paragraph" w:customStyle="1" w:styleId="BodySmallRight">
    <w:name w:val="Body Small Right"/>
    <w:basedOn w:val="BodyTextRight"/>
    <w:rsid w:val="00F47A87"/>
    <w:rPr>
      <w:sz w:val="18"/>
      <w:szCs w:val="18"/>
    </w:rPr>
  </w:style>
  <w:style w:type="paragraph" w:customStyle="1" w:styleId="MarginEdition">
    <w:name w:val="Margin Edition"/>
    <w:basedOn w:val="MarginNote"/>
    <w:rsid w:val="00F47A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A87"/>
    <w:rPr>
      <w:sz w:val="2"/>
      <w:szCs w:val="2"/>
    </w:rPr>
  </w:style>
  <w:style w:type="character" w:customStyle="1" w:styleId="Small">
    <w:name w:val="Small"/>
    <w:basedOn w:val="DefaultParagraphFont"/>
    <w:rsid w:val="00F47A87"/>
    <w:rPr>
      <w:sz w:val="16"/>
    </w:rPr>
  </w:style>
  <w:style w:type="paragraph" w:customStyle="1" w:styleId="WideTable">
    <w:name w:val="Wide Table"/>
    <w:basedOn w:val="Normal"/>
    <w:rsid w:val="00F47A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A87"/>
  </w:style>
  <w:style w:type="paragraph" w:styleId="Quote">
    <w:name w:val="Quote"/>
    <w:basedOn w:val="Heading1"/>
    <w:link w:val="QuoteChar"/>
    <w:qFormat/>
    <w:rsid w:val="00F47A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A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A87"/>
    <w:pPr>
      <w:pageBreakBefore/>
    </w:pPr>
  </w:style>
  <w:style w:type="paragraph" w:customStyle="1" w:styleId="Border">
    <w:name w:val="Border"/>
    <w:basedOn w:val="Normal"/>
    <w:qFormat/>
    <w:rsid w:val="00F47A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A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A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A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A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A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A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A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A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A87"/>
    <w:rPr>
      <w:u w:val="single"/>
    </w:rPr>
  </w:style>
  <w:style w:type="character" w:customStyle="1" w:styleId="BoldandItalics">
    <w:name w:val="Bold and Italics"/>
    <w:qFormat/>
    <w:rsid w:val="00F47A87"/>
    <w:rPr>
      <w:b/>
      <w:i/>
      <w:u w:val="none"/>
    </w:rPr>
  </w:style>
  <w:style w:type="paragraph" w:styleId="BalloonText">
    <w:name w:val="Balloon Text"/>
    <w:basedOn w:val="Normal"/>
    <w:link w:val="BalloonTextChar"/>
    <w:rsid w:val="00F47A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A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A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A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A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A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A87"/>
    <w:pPr>
      <w:spacing w:before="0" w:after="0"/>
    </w:pPr>
  </w:style>
  <w:style w:type="paragraph" w:customStyle="1" w:styleId="BodyTextBold">
    <w:name w:val="Body Text Bold"/>
    <w:basedOn w:val="BodyText"/>
    <w:qFormat/>
    <w:rsid w:val="00F47A87"/>
    <w:rPr>
      <w:b/>
    </w:rPr>
  </w:style>
  <w:style w:type="character" w:styleId="Hyperlink">
    <w:name w:val="Hyperlink"/>
    <w:basedOn w:val="DefaultParagraphFont"/>
    <w:uiPriority w:val="99"/>
    <w:unhideWhenUsed/>
    <w:rsid w:val="00E93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3034</Characters>
  <Application>Microsoft Office Word</Application>
  <DocSecurity>0</DocSecurity>
  <Lines>178</Lines>
  <Paragraphs>113</Paragraphs>
  <ScaleCrop>false</ScaleCrop>
  <Company>Author-it Software Corporation Ltd.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MEM19015 Perform jewellery enamelling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2023-02-03T07:15:00Z</dcterms:created>
  <dcterms:modified xsi:type="dcterms:W3CDTF">2023-02-03T07:15:00Z</dcterms:modified>
</cp:coreProperties>
</file>