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A2F" w:rsidP="002E7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MEM19015 Perform jewellery enamelling</w:t>
      </w:r>
      <w:r>
        <w:fldChar w:fldCharType="end"/>
      </w:r>
    </w:p>
    <w:p w:rsidR="002E7A2F" w:rsidP="002E7A2F">
      <w:pPr>
        <w:pStyle w:val="Version"/>
        <w:sectPr w:rsidSect="00093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3C4" w:rsidP="000933C4">
      <w:pPr>
        <w:pStyle w:val="SuperHeading"/>
      </w:pPr>
      <w:r w:rsidRPr="000933C4">
        <w:t>MEM19015 Perform jewellery enamelling</w:t>
      </w:r>
    </w:p>
    <w:p w:rsidR="00000000" w:rsidRPr="000933C4" w:rsidP="000933C4">
      <w:pPr>
        <w:pStyle w:val="Heading1"/>
      </w:pPr>
      <w:bookmarkStart w:id="1" w:name="O_946627"/>
      <w:bookmarkEnd w:id="1"/>
      <w:r w:rsidRPr="000933C4">
        <w:t>Modification History</w:t>
      </w:r>
    </w:p>
    <w:p w:rsidR="00000000" w:rsidRPr="000933C4" w:rsidP="002E7A2F">
      <w:pPr>
        <w:pStyle w:val="BodyText"/>
      </w:pPr>
      <w:r w:rsidRPr="000933C4">
        <w:t xml:space="preserve">Release 1. Supersedes and is equivalent to MEM19015B Perform jewellery enamelling </w:t>
      </w:r>
    </w:p>
    <w:p w:rsidR="00000000" w:rsidRPr="000933C4" w:rsidP="000933C4">
      <w:pPr>
        <w:pStyle w:val="Heading1"/>
      </w:pPr>
      <w:bookmarkStart w:id="2" w:name="O_946635"/>
      <w:bookmarkEnd w:id="2"/>
      <w:r w:rsidRPr="000933C4">
        <w:t>Application</w:t>
      </w:r>
    </w:p>
    <w:p w:rsidR="00000000" w:rsidRPr="000933C4" w:rsidP="002E7A2F">
      <w:pPr>
        <w:pStyle w:val="BodyText"/>
      </w:pPr>
      <w:r w:rsidRPr="000933C4">
        <w:t>This unit of competency defines the skills and knowledge required to perform enamelling techniques applied to precious meta</w:t>
      </w:r>
      <w:r w:rsidRPr="000933C4">
        <w:t>ls and some base metals using torch and kiln methods.</w:t>
      </w:r>
    </w:p>
    <w:p w:rsidR="00000000" w:rsidRPr="000933C4" w:rsidP="002E7A2F">
      <w:pPr>
        <w:pStyle w:val="BodyText"/>
      </w:pPr>
      <w:r w:rsidRPr="000933C4">
        <w:t>This unit does not apply to complex three-dimensional forms and plique-à-jour techniques.</w:t>
      </w:r>
    </w:p>
    <w:p w:rsidR="00000000" w:rsidRPr="000933C4" w:rsidP="002E7A2F">
      <w:pPr>
        <w:pStyle w:val="BodyText"/>
      </w:pPr>
      <w:r w:rsidRPr="000933C4">
        <w:t>No licensing, legislative or certification requirements apply to this unit at the time of publication.</w:t>
      </w:r>
    </w:p>
    <w:p w:rsidR="00000000" w:rsidRPr="000933C4" w:rsidP="000933C4">
      <w:pPr>
        <w:pStyle w:val="BodyText"/>
      </w:pPr>
      <w:r w:rsidRPr="000933C4">
        <w:rPr>
          <w:rStyle w:val="SpecialBold"/>
        </w:rPr>
        <w:t>Band</w:t>
      </w:r>
      <w:r w:rsidRPr="000933C4">
        <w:t>:</w:t>
      </w:r>
      <w:r w:rsidRPr="000933C4">
        <w:tab/>
      </w:r>
      <w:r w:rsidRPr="000933C4">
        <w:rPr>
          <w:rStyle w:val="SpecialBold"/>
        </w:rPr>
        <w:t>A</w:t>
      </w:r>
    </w:p>
    <w:p w:rsidR="00000000" w:rsidRPr="000933C4" w:rsidP="000933C4">
      <w:pPr>
        <w:pStyle w:val="BodyText"/>
      </w:pPr>
      <w:r w:rsidRPr="000933C4">
        <w:rPr>
          <w:rStyle w:val="SpecialBold"/>
        </w:rPr>
        <w:t>Unit Weight</w:t>
      </w:r>
      <w:r w:rsidRPr="000933C4">
        <w:t>:</w:t>
      </w:r>
      <w:r w:rsidRPr="000933C4">
        <w:tab/>
      </w:r>
      <w:r w:rsidRPr="000933C4">
        <w:rPr>
          <w:rStyle w:val="SpecialBold"/>
        </w:rPr>
        <w:t>4</w:t>
      </w:r>
    </w:p>
    <w:p w:rsidR="00000000" w:rsidRPr="000933C4" w:rsidP="000933C4">
      <w:pPr>
        <w:pStyle w:val="AllowPageBreak"/>
      </w:pPr>
    </w:p>
    <w:p w:rsidR="00000000" w:rsidRPr="000933C4" w:rsidP="000933C4">
      <w:pPr>
        <w:pStyle w:val="Heading1"/>
      </w:pPr>
      <w:bookmarkStart w:id="3" w:name="O_946634"/>
      <w:bookmarkEnd w:id="3"/>
      <w:r w:rsidRPr="000933C4">
        <w:t>Pre-requisite Unit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9"/>
        <w:gridCol w:w="7073"/>
      </w:tblGrid>
      <w:tr w:rsidTr="000933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MEM11011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Undertake manual handling</w:t>
            </w:r>
          </w:p>
        </w:tc>
      </w:tr>
      <w:tr w:rsidTr="000933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MEM13003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Work safely with industrial chemicals and materials</w:t>
            </w:r>
          </w:p>
        </w:tc>
      </w:tr>
      <w:tr w:rsidTr="000933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MEM13015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Work safely and effectively in manufacturing and engineering</w:t>
            </w:r>
          </w:p>
        </w:tc>
      </w:tr>
      <w:tr w:rsidTr="000933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MEM16006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Organise and communicate information</w:t>
            </w:r>
          </w:p>
        </w:tc>
      </w:tr>
      <w:tr w:rsidTr="000933C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MEM18001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3C4" w:rsidP="000933C4">
            <w:pPr>
              <w:pStyle w:val="BodyText"/>
            </w:pPr>
            <w:r w:rsidRPr="000933C4">
              <w:t>Use hand tools</w:t>
            </w:r>
          </w:p>
        </w:tc>
      </w:tr>
    </w:tbl>
    <w:p w:rsidR="00000000" w:rsidRPr="000933C4" w:rsidP="000933C4">
      <w:pPr>
        <w:pStyle w:val="BodyText"/>
      </w:pPr>
    </w:p>
    <w:p w:rsidR="00000000" w:rsidRPr="000933C4" w:rsidP="000933C4">
      <w:pPr>
        <w:pStyle w:val="AllowPageBreak"/>
      </w:pPr>
    </w:p>
    <w:p w:rsidR="00000000" w:rsidRPr="000933C4" w:rsidP="000933C4">
      <w:pPr>
        <w:pStyle w:val="Heading1"/>
      </w:pPr>
      <w:bookmarkStart w:id="4" w:name="O_946633"/>
      <w:bookmarkEnd w:id="4"/>
      <w:r w:rsidRPr="000933C4">
        <w:t>Competency Field</w:t>
      </w:r>
    </w:p>
    <w:p w:rsidR="00000000" w:rsidRPr="000933C4" w:rsidP="002E7A2F">
      <w:pPr>
        <w:pStyle w:val="BodyText"/>
      </w:pPr>
      <w:r w:rsidRPr="000933C4">
        <w:t>Jewellery and horological</w:t>
      </w:r>
    </w:p>
    <w:p w:rsidR="00000000" w:rsidRPr="000933C4" w:rsidP="000933C4">
      <w:pPr>
        <w:pStyle w:val="Heading1"/>
      </w:pPr>
      <w:bookmarkStart w:id="5" w:name="O_946631"/>
      <w:bookmarkEnd w:id="5"/>
      <w:r w:rsidRPr="000933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Performance criteria describe the perf</w:t>
            </w:r>
            <w:r w:rsidRPr="000933C4">
              <w:t>ormance needed to demonstrate achievement of the element.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3C4" w:rsidP="000933C4">
            <w:pPr>
              <w:pStyle w:val="BodyText"/>
            </w:pPr>
            <w:r w:rsidRPr="000933C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Follow standard operating procedures (SOPs)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Comply with work health and safety (WHS) requirements at all times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Use appropriate personal prote</w:t>
            </w:r>
            <w:r w:rsidRPr="000933C4">
              <w:t>ctive equipment (PPE) in accordance with SOPs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Identify job requirements from specifications, drawings, job sheets or work instructions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3C4" w:rsidP="000933C4">
            <w:pPr>
              <w:pStyle w:val="BodyText"/>
            </w:pPr>
            <w:r w:rsidRPr="000933C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rPr>
                <w:rStyle w:val="SpecialBold"/>
              </w:rPr>
              <w:t>Prepare items and materials for enamelling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Assess item materials and construction for enamelling suitability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Select appropriate enamelling technique and materials for the required outcome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Prepare enamels for enamelling operation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Prepare metal surfaces for enamelling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Carry out additional processing of item prior to enamelling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3C4" w:rsidP="000933C4">
            <w:pPr>
              <w:pStyle w:val="BodyText"/>
            </w:pPr>
            <w:r w:rsidRPr="000933C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rPr>
                <w:rStyle w:val="SpecialBold"/>
              </w:rPr>
              <w:t>Enamel jewellery items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Set up equipment and items for firing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Enamel items to specification and complete firing process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3C4" w:rsidP="000933C4">
            <w:pPr>
              <w:pStyle w:val="BodyText"/>
            </w:pPr>
            <w:r w:rsidRPr="000933C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rPr>
                <w:rStyle w:val="SpecialBold"/>
              </w:rPr>
              <w:t>Finish and inspect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Apply final finishes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Check product for compliance to specifications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Identify and rectify faults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3C4" w:rsidP="000933C4">
            <w:pPr>
              <w:pStyle w:val="BodyText"/>
            </w:pPr>
            <w:r w:rsidRPr="000933C4">
              <w:t>Record relevant job information</w:t>
            </w:r>
          </w:p>
        </w:tc>
      </w:tr>
    </w:tbl>
    <w:p w:rsidR="00000000" w:rsidRPr="000933C4" w:rsidP="000933C4">
      <w:pPr>
        <w:pStyle w:val="BodyText"/>
      </w:pPr>
    </w:p>
    <w:p w:rsidR="00000000" w:rsidRPr="000933C4" w:rsidP="000933C4">
      <w:pPr>
        <w:pStyle w:val="AllowPageBreak"/>
      </w:pPr>
    </w:p>
    <w:p w:rsidR="00000000" w:rsidRPr="000933C4" w:rsidP="000933C4">
      <w:pPr>
        <w:pStyle w:val="Heading1"/>
      </w:pPr>
      <w:bookmarkStart w:id="6" w:name="O_946630"/>
      <w:bookmarkEnd w:id="6"/>
      <w:r w:rsidRPr="000933C4">
        <w:t>Foundation Skills</w:t>
      </w:r>
    </w:p>
    <w:p w:rsidR="00000000" w:rsidRPr="000933C4" w:rsidP="002E7A2F">
      <w:pPr>
        <w:pStyle w:val="BodyText"/>
      </w:pPr>
      <w:r w:rsidRPr="000933C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933C4" w:rsidP="002E7A2F">
      <w:pPr>
        <w:pStyle w:val="BodyText"/>
      </w:pPr>
      <w:r w:rsidRPr="000933C4">
        <w:t xml:space="preserve">Foundation skills essential to performance are explicit in the performance criteria </w:t>
      </w:r>
      <w:r w:rsidRPr="000933C4">
        <w:t>of this unit of competency.</w:t>
      </w:r>
    </w:p>
    <w:p w:rsidR="00000000" w:rsidRPr="000933C4" w:rsidP="000933C4">
      <w:pPr>
        <w:pStyle w:val="Heading1"/>
      </w:pPr>
      <w:bookmarkStart w:id="7" w:name="O_946629"/>
      <w:bookmarkEnd w:id="7"/>
      <w:r w:rsidRPr="000933C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t>This field allows for different work environments and conditions that may affect performance. Essential operating conditions that may be present (depending on the work situation, needs of the</w:t>
            </w:r>
            <w:r w:rsidRPr="000933C4">
              <w:t xml:space="preserve"> candidate, accessibility of the item, and local industry and regional contexts) are included.</w:t>
            </w: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rPr>
                <w:rStyle w:val="SpecialBold"/>
              </w:rPr>
              <w:t>Enamelling techniques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3C4" w:rsidP="000933C4">
            <w:pPr>
              <w:pStyle w:val="ListBullet"/>
            </w:pPr>
            <w:r w:rsidRPr="000933C4">
              <w:t>torch firing</w:t>
            </w:r>
          </w:p>
          <w:p w:rsidR="00000000" w:rsidRPr="000933C4" w:rsidP="000933C4">
            <w:pPr>
              <w:pStyle w:val="ListBullet"/>
            </w:pPr>
            <w:r w:rsidRPr="000933C4">
              <w:t xml:space="preserve">kiln firing </w:t>
            </w:r>
          </w:p>
          <w:p w:rsidR="00000000" w:rsidRPr="000933C4" w:rsidP="000933C4">
            <w:pPr>
              <w:pStyle w:val="ListBullet"/>
            </w:pPr>
            <w:r w:rsidRPr="000933C4">
              <w:t>dusting</w:t>
            </w:r>
          </w:p>
          <w:p w:rsidR="00000000" w:rsidRPr="000933C4" w:rsidP="000933C4">
            <w:pPr>
              <w:pStyle w:val="ListBullet"/>
            </w:pPr>
            <w:r w:rsidRPr="000933C4">
              <w:t>cloisonné</w:t>
            </w:r>
          </w:p>
          <w:p w:rsidR="00000000" w:rsidRPr="000933C4" w:rsidP="000933C4">
            <w:pPr>
              <w:pStyle w:val="ListBullet"/>
            </w:pPr>
            <w:r w:rsidRPr="000933C4">
              <w:t xml:space="preserve">basse-taille </w:t>
            </w:r>
          </w:p>
          <w:p w:rsidR="00000000" w:rsidRPr="000933C4" w:rsidP="000933C4">
            <w:pPr>
              <w:pStyle w:val="ListBullet"/>
            </w:pPr>
            <w:r w:rsidRPr="000933C4">
              <w:t>champlevé</w:t>
            </w:r>
          </w:p>
          <w:p w:rsidR="00000000" w:rsidP="000933C4">
            <w:pPr>
              <w:pStyle w:val="BodyText"/>
              <w:rPr>
                <w:lang w:val="en-NZ"/>
              </w:rPr>
            </w:pP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rPr>
                <w:rStyle w:val="SpecialBold"/>
              </w:rPr>
              <w:t>Items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3C4" w:rsidP="000933C4">
            <w:pPr>
              <w:pStyle w:val="ListBullet"/>
            </w:pPr>
            <w:r w:rsidRPr="000933C4">
              <w:t xml:space="preserve">rings </w:t>
            </w:r>
          </w:p>
          <w:p w:rsidR="00000000" w:rsidRPr="000933C4" w:rsidP="000933C4">
            <w:pPr>
              <w:pStyle w:val="ListBullet"/>
            </w:pPr>
            <w:r w:rsidRPr="000933C4">
              <w:t>brooches</w:t>
            </w:r>
          </w:p>
          <w:p w:rsidR="00000000" w:rsidRPr="000933C4" w:rsidP="000933C4">
            <w:pPr>
              <w:pStyle w:val="ListBullet"/>
            </w:pPr>
            <w:r w:rsidRPr="000933C4">
              <w:t>earrings</w:t>
            </w:r>
          </w:p>
          <w:p w:rsidR="00000000" w:rsidRPr="000933C4" w:rsidP="000933C4">
            <w:pPr>
              <w:pStyle w:val="ListBullet"/>
            </w:pPr>
            <w:r w:rsidRPr="000933C4">
              <w:t xml:space="preserve">pendants </w:t>
            </w:r>
          </w:p>
          <w:p w:rsidR="00000000" w:rsidRPr="000933C4" w:rsidP="000933C4">
            <w:pPr>
              <w:pStyle w:val="ListBullet"/>
            </w:pPr>
            <w:r w:rsidRPr="000933C4">
              <w:t>other small-scale objects</w:t>
            </w:r>
          </w:p>
          <w:p w:rsidR="00000000" w:rsidP="000933C4">
            <w:pPr>
              <w:pStyle w:val="BodyText"/>
              <w:rPr>
                <w:lang w:val="en-NZ"/>
              </w:rPr>
            </w:pPr>
          </w:p>
        </w:tc>
      </w:tr>
      <w:tr w:rsidTr="00093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3C4">
            <w:pPr>
              <w:pStyle w:val="BodyText"/>
              <w:rPr>
                <w:lang w:val="en-NZ"/>
              </w:rPr>
            </w:pPr>
            <w:r w:rsidRPr="000933C4">
              <w:rPr>
                <w:rStyle w:val="SpecialBold"/>
              </w:rPr>
              <w:t>Additional processing 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3C4" w:rsidP="000933C4">
            <w:pPr>
              <w:pStyle w:val="ListBullet"/>
            </w:pPr>
            <w:r w:rsidRPr="000933C4">
              <w:t>stamping</w:t>
            </w:r>
          </w:p>
          <w:p w:rsidR="00000000" w:rsidRPr="000933C4" w:rsidP="000933C4">
            <w:pPr>
              <w:pStyle w:val="ListBullet"/>
            </w:pPr>
            <w:r w:rsidRPr="000933C4">
              <w:t>engraving</w:t>
            </w:r>
          </w:p>
          <w:p w:rsidR="00000000" w:rsidRPr="000933C4" w:rsidP="000933C4">
            <w:pPr>
              <w:pStyle w:val="ListBullet"/>
            </w:pPr>
            <w:r w:rsidRPr="000933C4">
              <w:t>saw piercing</w:t>
            </w:r>
          </w:p>
          <w:p w:rsidR="00000000" w:rsidRPr="000933C4" w:rsidP="000933C4">
            <w:pPr>
              <w:pStyle w:val="ListBullet"/>
            </w:pPr>
            <w:r w:rsidRPr="000933C4">
              <w:t>chasing</w:t>
            </w:r>
          </w:p>
          <w:p w:rsidR="00000000" w:rsidRPr="000933C4" w:rsidP="000933C4">
            <w:pPr>
              <w:pStyle w:val="ListBullet"/>
            </w:pPr>
            <w:r w:rsidRPr="000933C4">
              <w:t>oxidising</w:t>
            </w:r>
          </w:p>
          <w:p w:rsidR="00000000" w:rsidRPr="000933C4" w:rsidP="000933C4">
            <w:pPr>
              <w:pStyle w:val="ListBullet"/>
            </w:pPr>
            <w:r w:rsidRPr="000933C4">
              <w:t>roller pressing</w:t>
            </w:r>
          </w:p>
          <w:p w:rsidR="00000000" w:rsidRPr="000933C4" w:rsidP="000933C4">
            <w:pPr>
              <w:pStyle w:val="BodyText"/>
            </w:pPr>
          </w:p>
        </w:tc>
      </w:tr>
    </w:tbl>
    <w:p w:rsidR="00000000" w:rsidRPr="000933C4" w:rsidP="000933C4">
      <w:pPr>
        <w:pStyle w:val="BodyText"/>
      </w:pPr>
    </w:p>
    <w:p w:rsidR="00000000" w:rsidRPr="000933C4" w:rsidP="000933C4">
      <w:pPr>
        <w:pStyle w:val="AllowPageBreak"/>
      </w:pPr>
    </w:p>
    <w:p w:rsidR="00000000" w:rsidRPr="000933C4" w:rsidP="000933C4">
      <w:pPr>
        <w:pStyle w:val="Heading1"/>
      </w:pPr>
      <w:bookmarkStart w:id="8" w:name="O_946628"/>
      <w:bookmarkEnd w:id="8"/>
      <w:r w:rsidRPr="000933C4">
        <w:t>Unit Mapping Information</w:t>
      </w:r>
    </w:p>
    <w:p w:rsidR="00000000" w:rsidRPr="000933C4" w:rsidP="002E7A2F">
      <w:pPr>
        <w:pStyle w:val="BodyText"/>
      </w:pPr>
      <w:r w:rsidRPr="000933C4">
        <w:t xml:space="preserve">Release 1. Supersedes and is equivalent to MEM19015B Perform jewellery enamelling </w:t>
      </w:r>
    </w:p>
    <w:p w:rsidR="00000000" w:rsidRPr="000933C4" w:rsidP="000933C4">
      <w:pPr>
        <w:pStyle w:val="Heading1"/>
      </w:pPr>
      <w:bookmarkStart w:id="9" w:name="O_946621"/>
      <w:bookmarkEnd w:id="9"/>
      <w:r w:rsidRPr="000933C4">
        <w:t>Links</w:t>
      </w:r>
    </w:p>
    <w:p w:rsidR="00000000" w:rsidRPr="000933C4" w:rsidP="002E7A2F">
      <w:pPr>
        <w:pStyle w:val="BodyText"/>
      </w:pPr>
      <w:r w:rsidRPr="00093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73D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933C4" w:rsidP="002E7A2F">
      <w:pPr>
        <w:pStyle w:val="BodyText"/>
        <w:sectPr w:rsidSect="000933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33C4" w:rsidP="000933C4">
      <w:pPr>
        <w:pStyle w:val="SuperHeading"/>
      </w:pPr>
      <w:r w:rsidRPr="000933C4">
        <w:t>Assessment Requirements for MEM19015 Perform jewellery enamelling</w:t>
      </w:r>
    </w:p>
    <w:p w:rsidR="00000000" w:rsidRPr="000933C4" w:rsidP="000933C4">
      <w:pPr>
        <w:pStyle w:val="Heading1"/>
      </w:pPr>
      <w:bookmarkStart w:id="10" w:name="O_946623"/>
      <w:bookmarkEnd w:id="10"/>
      <w:r w:rsidRPr="000933C4">
        <w:t>Modification History</w:t>
      </w:r>
    </w:p>
    <w:p w:rsidR="00000000" w:rsidRPr="000933C4" w:rsidP="002E7A2F">
      <w:pPr>
        <w:pStyle w:val="BodyText"/>
      </w:pPr>
      <w:r w:rsidRPr="000933C4">
        <w:t xml:space="preserve">Release 1. Supersedes and is equivalent to MEM19015B Perform jewellery enamelling </w:t>
      </w:r>
    </w:p>
    <w:p w:rsidR="00000000" w:rsidRPr="000933C4" w:rsidP="000933C4">
      <w:pPr>
        <w:pStyle w:val="Heading1"/>
      </w:pPr>
      <w:bookmarkStart w:id="11" w:name="O_946626"/>
      <w:bookmarkEnd w:id="11"/>
      <w:r w:rsidRPr="000933C4">
        <w:t>Performance Evidence</w:t>
      </w:r>
    </w:p>
    <w:p w:rsidR="00000000" w:rsidRPr="000933C4" w:rsidP="002E7A2F">
      <w:pPr>
        <w:pStyle w:val="BodyText"/>
      </w:pPr>
      <w:r w:rsidRPr="000933C4">
        <w:t>Evidence required to demonstrate competence in this unit must be relevant to and satisfy the requirements of the elements and performan</w:t>
      </w:r>
      <w:r w:rsidRPr="000933C4">
        <w:t>ce criteria on at least two (2) occasions and include:</w:t>
      </w:r>
    </w:p>
    <w:p w:rsidR="00000000" w:rsidRPr="000933C4" w:rsidP="000933C4">
      <w:pPr>
        <w:pStyle w:val="ListBullet"/>
      </w:pPr>
      <w:r w:rsidRPr="000933C4">
        <w:t xml:space="preserve">following work instructions, standard operating procedures (SOPs) and safe work practices </w:t>
      </w:r>
    </w:p>
    <w:p w:rsidR="00000000" w:rsidRPr="000933C4" w:rsidP="000933C4">
      <w:pPr>
        <w:pStyle w:val="ListBullet"/>
      </w:pPr>
      <w:r w:rsidRPr="000933C4">
        <w:t>assessing items for construction and enamelling requirements</w:t>
      </w:r>
    </w:p>
    <w:p w:rsidR="00000000" w:rsidRPr="000933C4" w:rsidP="000933C4">
      <w:pPr>
        <w:pStyle w:val="ListBullet"/>
      </w:pPr>
      <w:r w:rsidRPr="000933C4">
        <w:t xml:space="preserve">selecting enamelling technique and materials to </w:t>
      </w:r>
      <w:r w:rsidRPr="000933C4">
        <w:t xml:space="preserve">suit job specification and design, item properties and construction   </w:t>
      </w:r>
    </w:p>
    <w:p w:rsidR="00000000" w:rsidRPr="000933C4" w:rsidP="000933C4">
      <w:pPr>
        <w:pStyle w:val="ListBullet"/>
      </w:pPr>
      <w:r w:rsidRPr="000933C4">
        <w:t xml:space="preserve">washing and grinding enamels, including cleaning, polishing, burnishing and pre-treating and pickling metals by hand </w:t>
      </w:r>
    </w:p>
    <w:p w:rsidR="00000000" w:rsidRPr="000933C4" w:rsidP="000933C4">
      <w:pPr>
        <w:pStyle w:val="ListBullet"/>
      </w:pPr>
      <w:r w:rsidRPr="000933C4">
        <w:t>applying enamel to achieve required outcome and performing any addi</w:t>
      </w:r>
      <w:r w:rsidRPr="000933C4">
        <w:t>tional process requirements prior to the firing process</w:t>
      </w:r>
    </w:p>
    <w:p w:rsidR="00000000" w:rsidRPr="000933C4" w:rsidP="000933C4">
      <w:pPr>
        <w:pStyle w:val="ListBullet"/>
      </w:pPr>
      <w:r w:rsidRPr="000933C4">
        <w:t>setting up equipment to the correct temperature and positioning items for firing using appropriate work holding devices, and monitoring and gauging stages</w:t>
      </w:r>
    </w:p>
    <w:p w:rsidR="00000000" w:rsidRPr="000933C4" w:rsidP="000933C4">
      <w:pPr>
        <w:pStyle w:val="ListBullet"/>
      </w:pPr>
      <w:r w:rsidRPr="000933C4">
        <w:t>removing from heat source at appropriate time</w:t>
      </w:r>
      <w:r w:rsidRPr="000933C4">
        <w:t xml:space="preserve"> to avoid over or under firing and applying final treatments and finishes, including final firing polishing, and checking item for conformance to specifications and design requirements </w:t>
      </w:r>
    </w:p>
    <w:p w:rsidR="00000000" w:rsidRPr="000933C4" w:rsidP="000933C4">
      <w:pPr>
        <w:pStyle w:val="ListBullet"/>
      </w:pPr>
      <w:r w:rsidRPr="000933C4">
        <w:t>identifying causes of non-conformance and rectifying faults</w:t>
      </w:r>
    </w:p>
    <w:p w:rsidR="00000000" w:rsidRPr="000933C4" w:rsidP="000933C4">
      <w:pPr>
        <w:pStyle w:val="ListBullet"/>
      </w:pPr>
      <w:r w:rsidRPr="000933C4">
        <w:t xml:space="preserve">recording </w:t>
      </w:r>
      <w:r w:rsidRPr="000933C4">
        <w:t>job information in accordance with SOPs.</w:t>
      </w:r>
    </w:p>
    <w:p w:rsidR="00000000" w:rsidRPr="000933C4" w:rsidP="000933C4">
      <w:pPr>
        <w:pStyle w:val="AllowPageBreak"/>
      </w:pPr>
    </w:p>
    <w:p w:rsidR="00000000" w:rsidRPr="000933C4" w:rsidP="000933C4">
      <w:pPr>
        <w:pStyle w:val="Heading1"/>
      </w:pPr>
      <w:bookmarkStart w:id="12" w:name="O_946625"/>
      <w:bookmarkEnd w:id="12"/>
      <w:r w:rsidRPr="000933C4">
        <w:t>Knowledge Evidence</w:t>
      </w:r>
    </w:p>
    <w:p w:rsidR="00000000" w:rsidRPr="000933C4" w:rsidP="002E7A2F">
      <w:pPr>
        <w:pStyle w:val="BodyText"/>
      </w:pPr>
      <w:r w:rsidRPr="000933C4">
        <w:t>Evidence required to demonstrate the required knowledge for this unit must be relevant to and satisfy the requirements of the elements and performance criteria and include knowled</w:t>
      </w:r>
      <w:r w:rsidRPr="000933C4">
        <w:t>ge of:</w:t>
      </w:r>
    </w:p>
    <w:p w:rsidR="00000000" w:rsidRPr="000933C4" w:rsidP="000933C4">
      <w:pPr>
        <w:pStyle w:val="ListBullet"/>
      </w:pPr>
      <w:r w:rsidRPr="000933C4">
        <w:t>safe work practices and procedures and use of personal protective equipment (PPE)</w:t>
      </w:r>
    </w:p>
    <w:p w:rsidR="00000000" w:rsidRPr="000933C4" w:rsidP="000933C4">
      <w:pPr>
        <w:pStyle w:val="ListBullet"/>
      </w:pPr>
      <w:r w:rsidRPr="000933C4">
        <w:t>enamels, base metals and properties relating to enamelling, enamelling techniques, firing techniques and work holding devices, faults and common rectification methods</w:t>
      </w:r>
    </w:p>
    <w:p w:rsidR="00000000" w:rsidRPr="000933C4" w:rsidP="000933C4">
      <w:pPr>
        <w:pStyle w:val="ListBullet"/>
      </w:pPr>
      <w:r w:rsidRPr="000933C4">
        <w:t>factors for determining suitability for enamelling, including available enamelling compositions, firing temperatures, metal type and properties, and item construction</w:t>
      </w:r>
    </w:p>
    <w:p w:rsidR="00000000" w:rsidRPr="000933C4" w:rsidP="000933C4">
      <w:pPr>
        <w:pStyle w:val="ListBullet"/>
      </w:pPr>
      <w:r w:rsidRPr="000933C4">
        <w:t>different enamelling techniques and terms</w:t>
      </w:r>
    </w:p>
    <w:p w:rsidR="00000000" w:rsidRPr="000933C4" w:rsidP="000933C4">
      <w:pPr>
        <w:pStyle w:val="ListBullet"/>
      </w:pPr>
      <w:r w:rsidRPr="000933C4">
        <w:t>enamelling compositions and techniques and rel</w:t>
      </w:r>
      <w:r w:rsidRPr="000933C4">
        <w:t>ated to specific item properties and factors, such as metal type and properties, item construction and firing temperature</w:t>
      </w:r>
    </w:p>
    <w:p w:rsidR="00000000" w:rsidRPr="000933C4" w:rsidP="000933C4">
      <w:pPr>
        <w:pStyle w:val="ListBullet"/>
      </w:pPr>
      <w:r w:rsidRPr="000933C4">
        <w:t>enamels and forms of availability for purchase, including leaded and unleaded, opaque and transparent</w:t>
      </w:r>
    </w:p>
    <w:p w:rsidR="00000000" w:rsidRPr="000933C4" w:rsidP="000933C4">
      <w:pPr>
        <w:pStyle w:val="ListBullet"/>
      </w:pPr>
      <w:r w:rsidRPr="000933C4">
        <w:t>use of enamel colour chart to de</w:t>
      </w:r>
      <w:r w:rsidRPr="000933C4">
        <w:t>termine suitable colours</w:t>
      </w:r>
    </w:p>
    <w:p w:rsidR="00000000" w:rsidRPr="000933C4" w:rsidP="000933C4">
      <w:pPr>
        <w:pStyle w:val="ListBullet"/>
      </w:pPr>
      <w:r w:rsidRPr="000933C4">
        <w:t>procedures for preparation of enamel powder</w:t>
      </w:r>
    </w:p>
    <w:p w:rsidR="00000000" w:rsidRPr="000933C4" w:rsidP="000933C4">
      <w:pPr>
        <w:pStyle w:val="ListBullet"/>
      </w:pPr>
      <w:r w:rsidRPr="000933C4">
        <w:t>techniques for washing and grinding enamels and reasons for doing so</w:t>
      </w:r>
    </w:p>
    <w:p w:rsidR="00000000" w:rsidRPr="000933C4" w:rsidP="000933C4">
      <w:pPr>
        <w:pStyle w:val="ListBullet"/>
      </w:pPr>
      <w:r w:rsidRPr="000933C4">
        <w:t>preparation of metal surfaces by hand cleaning, polishing, burnishing, chemical pre-treatment by acid, surface depleti</w:t>
      </w:r>
      <w:r w:rsidRPr="000933C4">
        <w:t>on methods and application to different metals</w:t>
      </w:r>
    </w:p>
    <w:p w:rsidR="00000000" w:rsidRPr="000933C4" w:rsidP="000933C4">
      <w:pPr>
        <w:pStyle w:val="ListBullet"/>
      </w:pPr>
      <w:r w:rsidRPr="000933C4">
        <w:t>additional processing techniques, including stamping, engraving, saw piercing, chasing, oxidising and roller pressing</w:t>
      </w:r>
    </w:p>
    <w:p w:rsidR="00000000" w:rsidRPr="000933C4" w:rsidP="000933C4">
      <w:pPr>
        <w:pStyle w:val="ListBullet"/>
      </w:pPr>
      <w:r w:rsidRPr="000933C4">
        <w:t>tools and equipment for processing and their uses</w:t>
      </w:r>
    </w:p>
    <w:p w:rsidR="00000000" w:rsidRPr="000933C4" w:rsidP="000933C4">
      <w:pPr>
        <w:pStyle w:val="ListBullet"/>
      </w:pPr>
      <w:r w:rsidRPr="000933C4">
        <w:t>methods of applying enamels, including we</w:t>
      </w:r>
      <w:r w:rsidRPr="000933C4">
        <w:t>t packing and dry dusting</w:t>
      </w:r>
    </w:p>
    <w:p w:rsidR="00000000" w:rsidRPr="000933C4" w:rsidP="000933C4">
      <w:pPr>
        <w:pStyle w:val="ListBullet"/>
      </w:pPr>
      <w:r w:rsidRPr="000933C4">
        <w:t>melting temperatures of metals and enamels</w:t>
      </w:r>
    </w:p>
    <w:p w:rsidR="00000000" w:rsidRPr="000933C4" w:rsidP="000933C4">
      <w:pPr>
        <w:pStyle w:val="ListBullet"/>
      </w:pPr>
      <w:r w:rsidRPr="000933C4">
        <w:t>work-holding devices</w:t>
      </w:r>
    </w:p>
    <w:p w:rsidR="00000000" w:rsidRPr="000933C4" w:rsidP="000933C4">
      <w:pPr>
        <w:pStyle w:val="ListBullet"/>
      </w:pPr>
      <w:r w:rsidRPr="000933C4">
        <w:t>visual appearance of enamel at different stages of firing process</w:t>
      </w:r>
    </w:p>
    <w:p w:rsidR="00000000" w:rsidRPr="000933C4" w:rsidP="000933C4">
      <w:pPr>
        <w:pStyle w:val="ListBullet"/>
      </w:pPr>
      <w:r w:rsidRPr="000933C4">
        <w:t>counter-enamelling techniques and reasons for doing so</w:t>
      </w:r>
    </w:p>
    <w:p w:rsidR="00000000" w:rsidRPr="000933C4" w:rsidP="000933C4">
      <w:pPr>
        <w:pStyle w:val="ListBullet"/>
      </w:pPr>
      <w:r w:rsidRPr="000933C4">
        <w:t>cleaning and lapping processes between firing</w:t>
      </w:r>
    </w:p>
    <w:p w:rsidR="00000000" w:rsidRPr="000933C4" w:rsidP="000933C4">
      <w:pPr>
        <w:pStyle w:val="ListBullet"/>
      </w:pPr>
      <w:r w:rsidRPr="000933C4">
        <w:t>different finishes and methods for achieving specific effects</w:t>
      </w:r>
    </w:p>
    <w:p w:rsidR="00000000" w:rsidRPr="000933C4" w:rsidP="000933C4">
      <w:pPr>
        <w:pStyle w:val="ListBullet"/>
      </w:pPr>
      <w:r w:rsidRPr="000933C4">
        <w:t>masking out methods and final firing and polishing methods</w:t>
      </w:r>
    </w:p>
    <w:p w:rsidR="00000000" w:rsidRPr="000933C4" w:rsidP="000933C4">
      <w:pPr>
        <w:pStyle w:val="ListBullet"/>
      </w:pPr>
      <w:r w:rsidRPr="000933C4">
        <w:t>features and factors for compliance from original specifications and job requirements</w:t>
      </w:r>
    </w:p>
    <w:p w:rsidR="00000000" w:rsidRPr="000933C4" w:rsidP="000933C4">
      <w:pPr>
        <w:pStyle w:val="ListBullet"/>
      </w:pPr>
      <w:r w:rsidRPr="000933C4">
        <w:t>common enamelling faults, incorrect outcomes and their causes, including oxidation, staining and under or over firing</w:t>
      </w:r>
    </w:p>
    <w:p w:rsidR="00000000" w:rsidRPr="000933C4" w:rsidP="000933C4">
      <w:pPr>
        <w:pStyle w:val="ListBullet"/>
      </w:pPr>
      <w:r w:rsidRPr="000933C4">
        <w:t>actions to rectify faults using standard techniques and methods</w:t>
      </w:r>
    </w:p>
    <w:p w:rsidR="00000000" w:rsidRPr="000933C4" w:rsidP="000933C4">
      <w:pPr>
        <w:pStyle w:val="ListBullet"/>
      </w:pPr>
      <w:r w:rsidRPr="000933C4">
        <w:t>job data to be recorded and procedures to record data.</w:t>
      </w:r>
    </w:p>
    <w:p w:rsidR="00000000" w:rsidRPr="000933C4" w:rsidP="000933C4">
      <w:pPr>
        <w:pStyle w:val="AllowPageBreak"/>
      </w:pPr>
    </w:p>
    <w:p w:rsidR="00000000" w:rsidRPr="000933C4" w:rsidP="000933C4">
      <w:pPr>
        <w:pStyle w:val="Heading1"/>
      </w:pPr>
      <w:bookmarkStart w:id="13" w:name="O_946624"/>
      <w:bookmarkEnd w:id="13"/>
      <w:r w:rsidRPr="000933C4">
        <w:t>As</w:t>
      </w:r>
      <w:r w:rsidRPr="000933C4">
        <w:t>sessment Conditions</w:t>
      </w:r>
    </w:p>
    <w:p w:rsidR="00000000" w:rsidRPr="000933C4" w:rsidP="000933C4">
      <w:pPr>
        <w:pStyle w:val="ListBullet"/>
      </w:pPr>
      <w:r w:rsidRPr="000933C4">
        <w:t>Assessors must:</w:t>
      </w:r>
    </w:p>
    <w:p w:rsidR="00000000" w:rsidRPr="000933C4" w:rsidP="000933C4">
      <w:pPr>
        <w:pStyle w:val="ListBullet2"/>
      </w:pPr>
      <w:r w:rsidRPr="000933C4">
        <w:t>have vocational competency in performing jewellery enamelling at least to the level being assessed with relevant industry knowledge and experience</w:t>
      </w:r>
    </w:p>
    <w:p w:rsidR="00000000" w:rsidRPr="000933C4" w:rsidP="000933C4">
      <w:pPr>
        <w:pStyle w:val="ListBullet2"/>
      </w:pPr>
      <w:r w:rsidRPr="000933C4">
        <w:t xml:space="preserve">satisfy the assessor requirements in the </w:t>
      </w:r>
      <w:r w:rsidRPr="000933C4">
        <w:rPr>
          <w:rStyle w:val="Emphasis"/>
        </w:rPr>
        <w:t>Standards for Registered Train</w:t>
      </w:r>
      <w:r w:rsidRPr="000933C4">
        <w:rPr>
          <w:rStyle w:val="Emphasis"/>
        </w:rPr>
        <w:t xml:space="preserve">ing Organisations 2015 </w:t>
      </w:r>
      <w:r w:rsidRPr="000933C4">
        <w:t>or its replacement</w:t>
      </w:r>
      <w:r w:rsidRPr="000933C4">
        <w:rPr>
          <w:rStyle w:val="Emphasis"/>
        </w:rPr>
        <w:t xml:space="preserve"> </w:t>
      </w:r>
      <w:r w:rsidRPr="000933C4">
        <w:t xml:space="preserve">and comply with the </w:t>
      </w:r>
      <w:r w:rsidRPr="000933C4">
        <w:rPr>
          <w:rStyle w:val="Emphasis"/>
        </w:rPr>
        <w:t xml:space="preserve">National Vocational Education and Training Regulator Act 2011, </w:t>
      </w:r>
      <w:r w:rsidRPr="000933C4">
        <w:t>its replacement</w:t>
      </w:r>
      <w:r w:rsidRPr="000933C4">
        <w:rPr>
          <w:rStyle w:val="Emphasis"/>
        </w:rPr>
        <w:t xml:space="preserve"> </w:t>
      </w:r>
      <w:r w:rsidRPr="000933C4">
        <w:t>or equivalent legislation covering VET regulation in a non-referring state/territory as the case requires</w:t>
      </w:r>
    </w:p>
    <w:p w:rsidR="00000000" w:rsidRPr="000933C4" w:rsidP="000933C4">
      <w:pPr>
        <w:pStyle w:val="ListBullet"/>
      </w:pPr>
      <w:r w:rsidRPr="000933C4">
        <w:t>Where po</w:t>
      </w:r>
      <w:r w:rsidRPr="000933C4">
        <w:t>ssible assessment must occur in operational workplace situations. Where this is not possible or where personal safety or environmental damage are limiting factors, assessment must occur in a sufficiently rigorous simulated environment that reflects realist</w:t>
      </w:r>
      <w:r w:rsidRPr="000933C4">
        <w:t>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933C4" w:rsidP="000933C4">
      <w:pPr>
        <w:pStyle w:val="ListBullet"/>
      </w:pPr>
      <w:r w:rsidRPr="000933C4">
        <w:t>Conditions for assessment must include acce</w:t>
      </w:r>
      <w:r w:rsidRPr="000933C4">
        <w:t>ss to all tools, equipment, materials and documentation required, including relevant workplace procedures, product and manufacturing specifications</w:t>
      </w:r>
    </w:p>
    <w:p w:rsidR="00000000" w:rsidRPr="000933C4" w:rsidP="000933C4">
      <w:pPr>
        <w:pStyle w:val="ListBullet"/>
      </w:pPr>
      <w:r w:rsidRPr="000933C4">
        <w:t xml:space="preserve">Assessment processes and techniques must be appropriate to the language, literacy and numeracy requirements </w:t>
      </w:r>
      <w:r w:rsidRPr="000933C4">
        <w:t>of the work being performed and the needs of the candidate.</w:t>
      </w:r>
    </w:p>
    <w:p w:rsidR="00000000" w:rsidRPr="000933C4" w:rsidP="000933C4">
      <w:pPr>
        <w:pStyle w:val="AllowPageBreak"/>
      </w:pPr>
    </w:p>
    <w:p w:rsidR="00000000" w:rsidRPr="000933C4" w:rsidP="000933C4">
      <w:pPr>
        <w:pStyle w:val="Heading1"/>
      </w:pPr>
      <w:bookmarkStart w:id="14" w:name="O_946622"/>
      <w:bookmarkEnd w:id="14"/>
      <w:r w:rsidRPr="000933C4">
        <w:t>Links</w:t>
      </w:r>
    </w:p>
    <w:p w:rsidR="00000000" w:rsidRPr="000933C4" w:rsidP="002E7A2F">
      <w:pPr>
        <w:pStyle w:val="BodyText"/>
      </w:pPr>
      <w:r w:rsidRPr="00093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73D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933C4" w:rsidP="000933C4"/>
    <w:sectPr w:rsidSect="000933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3C4" w:rsidRPr="002E7A2F" w:rsidP="002E7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2F" w:rsidP="00093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A2F" w:rsidP="00093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E7A2F" w:rsidP="000933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3C4" w:rsidP="00093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7A2F">
      <w:t>Approved</w:t>
    </w:r>
    <w:r w:rsidR="002E7A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7A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7A2F">
      <w:rPr>
        <w:noProof/>
      </w:rPr>
      <w:t>4</w:t>
    </w:r>
    <w:r>
      <w:rPr>
        <w:noProof/>
      </w:rPr>
      <w:fldChar w:fldCharType="end"/>
    </w:r>
  </w:p>
  <w:p w:rsidR="000933C4" w:rsidP="00093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7A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7A2F">
      <w:t>Manufacturing Industry Skills Alliance</w:t>
    </w:r>
    <w:r w:rsidR="002E7A2F">
      <w:fldChar w:fldCharType="end"/>
    </w:r>
  </w:p>
  <w:p w:rsidR="000933C4" w:rsidP="00093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3C4" w:rsidRPr="002E7A2F" w:rsidP="002E7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2F" w:rsidRPr="002D2AF8" w:rsidP="00093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MEM19015 Perform jewellery enamelling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7A2F" w:rsidP="000933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3C4" w:rsidRPr="002D2AF8" w:rsidP="00093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7A2F">
      <w:t>MEM19015 Perform jewellery enamelling</w:t>
    </w:r>
    <w:r w:rsidR="002E7A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7A2F">
      <w:rPr>
        <w:noProof/>
      </w:rPr>
      <w:t>2 March 2025</w:t>
    </w:r>
    <w:r>
      <w:fldChar w:fldCharType="end"/>
    </w:r>
  </w:p>
  <w:p w:rsidR="000933C4" w:rsidP="00093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85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1E9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50B6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3C4"/>
  </w:style>
  <w:style w:type="character" w:customStyle="1" w:styleId="Heading1Char">
    <w:name w:val="Heading 1 Char"/>
    <w:basedOn w:val="DefaultParagraphFont"/>
    <w:link w:val="Heading1"/>
    <w:rsid w:val="00093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3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3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3C4"/>
    <w:rPr>
      <w:b/>
      <w:spacing w:val="0"/>
    </w:rPr>
  </w:style>
  <w:style w:type="paragraph" w:styleId="ListBullet2">
    <w:name w:val="List Bullet 2"/>
    <w:basedOn w:val="List2"/>
    <w:rsid w:val="000933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33C4"/>
    <w:rPr>
      <w:i/>
    </w:rPr>
  </w:style>
  <w:style w:type="paragraph" w:customStyle="1" w:styleId="SuperHeading">
    <w:name w:val="SuperHeading"/>
    <w:basedOn w:val="Normal"/>
    <w:rsid w:val="00093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3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3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3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3C4"/>
  </w:style>
  <w:style w:type="paragraph" w:styleId="TableofFigures">
    <w:name w:val="table of figures"/>
    <w:basedOn w:val="Normal"/>
    <w:next w:val="Normal"/>
    <w:semiHidden/>
    <w:rsid w:val="00093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3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3C4"/>
    <w:rPr>
      <w:rFonts w:ascii="Wingdings" w:hAnsi="Wingdings"/>
    </w:rPr>
  </w:style>
  <w:style w:type="paragraph" w:customStyle="1" w:styleId="TableHeading">
    <w:name w:val="Table Heading"/>
    <w:basedOn w:val="HeadingBase"/>
    <w:rsid w:val="00093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3C4"/>
    <w:rPr>
      <w:color w:val="0033CC"/>
      <w:u w:val="none"/>
    </w:rPr>
  </w:style>
  <w:style w:type="paragraph" w:customStyle="1" w:styleId="BodyTextRight">
    <w:name w:val="Body Text Right"/>
    <w:basedOn w:val="BodyText"/>
    <w:rsid w:val="00093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3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3C4"/>
    <w:rPr>
      <w:sz w:val="32"/>
    </w:rPr>
  </w:style>
  <w:style w:type="paragraph" w:customStyle="1" w:styleId="HeadingProcedure">
    <w:name w:val="Heading Procedure"/>
    <w:basedOn w:val="HeadingBase"/>
    <w:next w:val="Normal"/>
    <w:rsid w:val="00093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3C4"/>
    <w:pPr>
      <w:spacing w:before="60" w:after="60"/>
    </w:pPr>
  </w:style>
  <w:style w:type="paragraph" w:styleId="ListContinue">
    <w:name w:val="List Continue"/>
    <w:basedOn w:val="List"/>
    <w:rsid w:val="000933C4"/>
    <w:pPr>
      <w:ind w:firstLine="0"/>
    </w:pPr>
  </w:style>
  <w:style w:type="paragraph" w:customStyle="1" w:styleId="ListNote">
    <w:name w:val="List Note"/>
    <w:basedOn w:val="List"/>
    <w:rsid w:val="00093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3C4"/>
    <w:rPr>
      <w:rFonts w:ascii="Courier New" w:hAnsi="Courier New"/>
    </w:rPr>
  </w:style>
  <w:style w:type="paragraph" w:customStyle="1" w:styleId="NoteBullet">
    <w:name w:val="Note Bullet"/>
    <w:basedOn w:val="Note"/>
    <w:rsid w:val="00093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3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3C4"/>
    <w:rPr>
      <w:b/>
      <w:smallCaps/>
    </w:rPr>
  </w:style>
  <w:style w:type="paragraph" w:customStyle="1" w:styleId="TableListNumber">
    <w:name w:val="Table List Number"/>
    <w:basedOn w:val="ListNumber"/>
    <w:rsid w:val="00093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3C4"/>
    <w:pPr>
      <w:numPr>
        <w:numId w:val="9"/>
      </w:numPr>
    </w:pPr>
  </w:style>
  <w:style w:type="paragraph" w:customStyle="1" w:styleId="ListAlpha2">
    <w:name w:val="List Alpha 2"/>
    <w:basedOn w:val="List2"/>
    <w:rsid w:val="000933C4"/>
    <w:pPr>
      <w:numPr>
        <w:numId w:val="8"/>
      </w:numPr>
    </w:pPr>
  </w:style>
  <w:style w:type="paragraph" w:styleId="List2">
    <w:name w:val="List 2"/>
    <w:basedOn w:val="BodyText"/>
    <w:rsid w:val="00093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3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3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3C4"/>
    <w:pPr>
      <w:numPr>
        <w:numId w:val="4"/>
      </w:numPr>
    </w:pPr>
  </w:style>
  <w:style w:type="paragraph" w:styleId="ListContinue2">
    <w:name w:val="List Continue 2"/>
    <w:basedOn w:val="List2"/>
    <w:rsid w:val="000933C4"/>
    <w:pPr>
      <w:ind w:firstLine="0"/>
    </w:pPr>
  </w:style>
  <w:style w:type="paragraph" w:styleId="ListContinue3">
    <w:name w:val="List Continue 3"/>
    <w:basedOn w:val="List3"/>
    <w:rsid w:val="000933C4"/>
    <w:pPr>
      <w:ind w:left="1021" w:firstLine="0"/>
    </w:pPr>
  </w:style>
  <w:style w:type="paragraph" w:styleId="ListContinue4">
    <w:name w:val="List Continue 4"/>
    <w:basedOn w:val="List4"/>
    <w:rsid w:val="000933C4"/>
    <w:pPr>
      <w:ind w:firstLine="0"/>
    </w:pPr>
  </w:style>
  <w:style w:type="paragraph" w:styleId="ListContinue5">
    <w:name w:val="List Continue 5"/>
    <w:basedOn w:val="List5"/>
    <w:rsid w:val="000933C4"/>
    <w:pPr>
      <w:ind w:firstLine="0"/>
    </w:pPr>
  </w:style>
  <w:style w:type="paragraph" w:styleId="ListNumber3">
    <w:name w:val="List Number 3"/>
    <w:basedOn w:val="List3"/>
    <w:rsid w:val="000933C4"/>
    <w:pPr>
      <w:numPr>
        <w:numId w:val="5"/>
      </w:numPr>
    </w:pPr>
  </w:style>
  <w:style w:type="paragraph" w:styleId="ListNumber4">
    <w:name w:val="List Number 4"/>
    <w:basedOn w:val="List4"/>
    <w:rsid w:val="000933C4"/>
    <w:pPr>
      <w:numPr>
        <w:numId w:val="6"/>
      </w:numPr>
    </w:pPr>
  </w:style>
  <w:style w:type="paragraph" w:styleId="ListNumber5">
    <w:name w:val="List Number 5"/>
    <w:basedOn w:val="List5"/>
    <w:rsid w:val="000933C4"/>
    <w:pPr>
      <w:numPr>
        <w:numId w:val="7"/>
      </w:numPr>
    </w:pPr>
  </w:style>
  <w:style w:type="paragraph" w:styleId="BlockText">
    <w:name w:val="Block Text"/>
    <w:basedOn w:val="Normal"/>
    <w:rsid w:val="00093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3C4"/>
    <w:rPr>
      <w:sz w:val="16"/>
      <w:vertAlign w:val="superscript"/>
    </w:rPr>
  </w:style>
  <w:style w:type="character" w:customStyle="1" w:styleId="Symbols">
    <w:name w:val="Symbols"/>
    <w:basedOn w:val="DefaultParagraphFont"/>
    <w:rsid w:val="000933C4"/>
    <w:rPr>
      <w:rFonts w:ascii="Symbol" w:hAnsi="Symbol"/>
    </w:rPr>
  </w:style>
  <w:style w:type="character" w:customStyle="1" w:styleId="MenuOptions">
    <w:name w:val="Menu Options"/>
    <w:basedOn w:val="DefaultParagraphFont"/>
    <w:rsid w:val="00093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3C4"/>
    <w:rPr>
      <w:b/>
    </w:rPr>
  </w:style>
  <w:style w:type="character" w:customStyle="1" w:styleId="Underlined">
    <w:name w:val="Underlined"/>
    <w:basedOn w:val="DefaultParagraphFont"/>
    <w:rsid w:val="000933C4"/>
    <w:rPr>
      <w:u w:val="single"/>
    </w:rPr>
  </w:style>
  <w:style w:type="paragraph" w:customStyle="1" w:styleId="TableBodyTextRight">
    <w:name w:val="Table Body Text Right"/>
    <w:basedOn w:val="TableBodyText"/>
    <w:rsid w:val="00093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3C4"/>
    <w:rPr>
      <w:sz w:val="18"/>
    </w:rPr>
  </w:style>
  <w:style w:type="paragraph" w:customStyle="1" w:styleId="BodySmallRight">
    <w:name w:val="Body Small Right"/>
    <w:basedOn w:val="BodyTextRight"/>
    <w:rsid w:val="000933C4"/>
    <w:rPr>
      <w:sz w:val="18"/>
      <w:szCs w:val="18"/>
    </w:rPr>
  </w:style>
  <w:style w:type="paragraph" w:customStyle="1" w:styleId="MarginEdition">
    <w:name w:val="Margin Edition"/>
    <w:basedOn w:val="MarginNote"/>
    <w:rsid w:val="00093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3C4"/>
    <w:rPr>
      <w:sz w:val="2"/>
      <w:szCs w:val="2"/>
    </w:rPr>
  </w:style>
  <w:style w:type="character" w:customStyle="1" w:styleId="Small">
    <w:name w:val="Small"/>
    <w:basedOn w:val="DefaultParagraphFont"/>
    <w:rsid w:val="000933C4"/>
    <w:rPr>
      <w:sz w:val="16"/>
    </w:rPr>
  </w:style>
  <w:style w:type="paragraph" w:customStyle="1" w:styleId="WideTable">
    <w:name w:val="Wide Table"/>
    <w:basedOn w:val="Normal"/>
    <w:rsid w:val="00093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3C4"/>
  </w:style>
  <w:style w:type="paragraph" w:styleId="Quote">
    <w:name w:val="Quote"/>
    <w:basedOn w:val="Heading1"/>
    <w:link w:val="QuoteChar"/>
    <w:qFormat/>
    <w:rsid w:val="00093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3C4"/>
    <w:pPr>
      <w:pageBreakBefore/>
    </w:pPr>
  </w:style>
  <w:style w:type="paragraph" w:customStyle="1" w:styleId="Border">
    <w:name w:val="Border"/>
    <w:basedOn w:val="Normal"/>
    <w:qFormat/>
    <w:rsid w:val="00093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3C4"/>
    <w:rPr>
      <w:u w:val="single"/>
    </w:rPr>
  </w:style>
  <w:style w:type="character" w:customStyle="1" w:styleId="BoldandItalics">
    <w:name w:val="Bold and Italics"/>
    <w:qFormat/>
    <w:rsid w:val="000933C4"/>
    <w:rPr>
      <w:b/>
      <w:i/>
      <w:u w:val="none"/>
    </w:rPr>
  </w:style>
  <w:style w:type="paragraph" w:styleId="BalloonText">
    <w:name w:val="Balloon Text"/>
    <w:basedOn w:val="Normal"/>
    <w:link w:val="BalloonTextChar"/>
    <w:rsid w:val="00093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3C4"/>
    <w:pPr>
      <w:spacing w:before="0" w:after="0"/>
    </w:pPr>
  </w:style>
  <w:style w:type="paragraph" w:customStyle="1" w:styleId="BodyTextBold">
    <w:name w:val="Body Text Bold"/>
    <w:basedOn w:val="BodyText"/>
    <w:qFormat/>
    <w:rsid w:val="000933C4"/>
    <w:rPr>
      <w:b/>
    </w:rPr>
  </w:style>
  <w:style w:type="character" w:styleId="Hyperlink">
    <w:name w:val="Hyperlink"/>
    <w:basedOn w:val="DefaultParagraphFont"/>
    <w:uiPriority w:val="99"/>
    <w:unhideWhenUsed/>
    <w:rsid w:val="002E7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1153</Words>
  <Characters>7519</Characters>
  <Application>Microsoft Office Word</Application>
  <DocSecurity>0</DocSecurity>
  <Lines>268</Lines>
  <Paragraphs>170</Paragraphs>
  <ScaleCrop>false</ScaleCrop>
  <Company>Author-it Software Corporation Ltd.</Company>
  <LinksUpToDate>false</LinksUpToDate>
  <CharactersWithSpaces>8502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MEM19015 Perform jewellery enamelling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2025-03-01T19:09:00Z</dcterms:created>
  <dcterms:modified xsi:type="dcterms:W3CDTF">2025-03-01T19:09:00Z</dcterms:modified>
</cp:coreProperties>
</file>