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C30" w:rsidP="002B1C30">
      <w:pPr>
        <w:pStyle w:val="Title"/>
      </w:pPr>
      <w:r>
        <w:fldChar w:fldCharType="begin"/>
      </w:r>
      <w:r>
        <w:instrText xml:space="preserve"> TITLE   \* MERGEFORMAT </w:instrText>
      </w:r>
      <w:r>
        <w:fldChar w:fldCharType="separate"/>
      </w:r>
      <w:r>
        <w:t>MEM19012 Produce jewellery wax model</w:t>
      </w:r>
      <w:r>
        <w:fldChar w:fldCharType="end"/>
      </w:r>
    </w:p>
    <w:p w:rsidR="002B1C30" w:rsidP="002B1C30">
      <w:pPr>
        <w:pStyle w:val="Version"/>
        <w:sectPr w:rsidSect="003C70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7009" w:rsidP="003C7009">
      <w:pPr>
        <w:pStyle w:val="SuperHeading"/>
      </w:pPr>
      <w:r w:rsidRPr="003C7009">
        <w:t>MEM19012 Produce jewellery wax model</w:t>
      </w:r>
    </w:p>
    <w:p w:rsidR="00000000" w:rsidRPr="003C7009" w:rsidP="003C7009">
      <w:pPr>
        <w:pStyle w:val="Heading1"/>
      </w:pPr>
      <w:bookmarkStart w:id="1" w:name="O_946570"/>
      <w:bookmarkEnd w:id="1"/>
      <w:r w:rsidRPr="003C7009">
        <w:t>Modification History</w:t>
      </w:r>
    </w:p>
    <w:p w:rsidR="00000000" w:rsidRPr="003C7009" w:rsidP="002B1C30">
      <w:pPr>
        <w:pStyle w:val="BodyText"/>
      </w:pPr>
      <w:r w:rsidRPr="003C7009">
        <w:t xml:space="preserve">Release 1. Supersedes and is equivalent to MEM19012B Produce jewellery wax model </w:t>
      </w:r>
    </w:p>
    <w:p w:rsidR="00000000" w:rsidRPr="003C7009" w:rsidP="003C7009">
      <w:pPr>
        <w:pStyle w:val="Heading1"/>
      </w:pPr>
      <w:bookmarkStart w:id="2" w:name="O_946578"/>
      <w:bookmarkEnd w:id="2"/>
      <w:r w:rsidRPr="003C7009">
        <w:t>Application</w:t>
      </w:r>
    </w:p>
    <w:p w:rsidR="00000000" w:rsidRPr="003C7009" w:rsidP="002B1C30">
      <w:pPr>
        <w:pStyle w:val="BodyText"/>
      </w:pPr>
      <w:r w:rsidRPr="003C7009">
        <w:t>This unit of competency defines the skills and knowledge required to produce one-off wax models.</w:t>
      </w:r>
    </w:p>
    <w:p w:rsidR="00000000" w:rsidRPr="003C7009" w:rsidP="002B1C30">
      <w:pPr>
        <w:pStyle w:val="BodyText"/>
      </w:pPr>
      <w:r w:rsidRPr="003C7009">
        <w:t xml:space="preserve">This unit is not intended </w:t>
      </w:r>
      <w:r w:rsidRPr="003C7009">
        <w:t xml:space="preserve">to include fine wire filigree work. </w:t>
      </w:r>
    </w:p>
    <w:p w:rsidR="00000000" w:rsidRPr="003C7009" w:rsidP="002B1C30">
      <w:pPr>
        <w:pStyle w:val="BodyText"/>
      </w:pPr>
      <w:r w:rsidRPr="003C7009">
        <w:t>Where the use of computer aided equipment for modelling is required unit MEM09009 Create 2-D drawings using computer-aided design system and unit MEM09010 Create 3-D models using computer-aided design system, should al</w:t>
      </w:r>
      <w:r w:rsidRPr="003C7009">
        <w:t>so be selected as appropriate.</w:t>
      </w:r>
    </w:p>
    <w:p w:rsidR="00000000" w:rsidRPr="003C7009" w:rsidP="002B1C30">
      <w:pPr>
        <w:pStyle w:val="BodyText"/>
      </w:pPr>
      <w:r w:rsidRPr="003C7009">
        <w:t>No licensing, legislative or certification requirements apply to this unit at the time of publication.</w:t>
      </w:r>
    </w:p>
    <w:p w:rsidR="00000000" w:rsidRPr="003C7009" w:rsidP="003C7009">
      <w:pPr>
        <w:pStyle w:val="BodyText"/>
      </w:pPr>
      <w:r w:rsidRPr="003C7009">
        <w:rPr>
          <w:rStyle w:val="SpecialBold"/>
        </w:rPr>
        <w:t>Band</w:t>
      </w:r>
      <w:r w:rsidRPr="003C7009">
        <w:t>:</w:t>
      </w:r>
      <w:r w:rsidRPr="003C7009">
        <w:tab/>
      </w:r>
      <w:r w:rsidRPr="003C7009">
        <w:rPr>
          <w:rStyle w:val="SpecialBold"/>
        </w:rPr>
        <w:t>A</w:t>
      </w:r>
    </w:p>
    <w:p w:rsidR="00000000" w:rsidRPr="003C7009" w:rsidP="003C7009">
      <w:pPr>
        <w:pStyle w:val="BodyText"/>
      </w:pPr>
      <w:r w:rsidRPr="003C7009">
        <w:rPr>
          <w:rStyle w:val="SpecialBold"/>
        </w:rPr>
        <w:t>Unit Weight</w:t>
      </w:r>
      <w:r w:rsidRPr="003C7009">
        <w:t>:</w:t>
      </w:r>
      <w:r w:rsidRPr="003C7009">
        <w:tab/>
      </w:r>
      <w:r w:rsidRPr="003C7009">
        <w:rPr>
          <w:rStyle w:val="SpecialBold"/>
        </w:rPr>
        <w:t>4</w:t>
      </w:r>
    </w:p>
    <w:p w:rsidR="00000000" w:rsidRPr="003C7009" w:rsidP="003C7009">
      <w:pPr>
        <w:pStyle w:val="AllowPageBreak"/>
      </w:pPr>
    </w:p>
    <w:p w:rsidR="00000000" w:rsidRPr="003C7009" w:rsidP="003C7009">
      <w:pPr>
        <w:pStyle w:val="Heading1"/>
      </w:pPr>
      <w:bookmarkStart w:id="3" w:name="O_946577"/>
      <w:bookmarkEnd w:id="3"/>
      <w:r w:rsidRPr="003C7009">
        <w:t>Pre-requisite Unit</w:t>
      </w:r>
    </w:p>
    <w:tbl>
      <w:tblPr>
        <w:tblW w:w="0" w:type="auto"/>
        <w:tblLayout w:type="fixed"/>
        <w:tblCellMar>
          <w:left w:w="62" w:type="dxa"/>
          <w:right w:w="62" w:type="dxa"/>
        </w:tblCellMar>
        <w:tblLook w:val="0000"/>
      </w:tblPr>
      <w:tblGrid>
        <w:gridCol w:w="1936"/>
        <w:gridCol w:w="7244"/>
      </w:tblGrid>
      <w:tr w:rsidTr="003C7009">
        <w:tblPrEx>
          <w:tblW w:w="0" w:type="auto"/>
          <w:tblLayout w:type="fixed"/>
          <w:tblCellMar>
            <w:left w:w="62" w:type="dxa"/>
            <w:right w:w="62" w:type="dxa"/>
          </w:tblCellMar>
          <w:tblLook w:val="0000"/>
        </w:tblPrEx>
        <w:tc>
          <w:tcPr>
            <w:tcW w:w="1936"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MEM11011</w:t>
            </w:r>
          </w:p>
        </w:tc>
        <w:tc>
          <w:tcPr>
            <w:tcW w:w="7244"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Undertake manual handling</w:t>
            </w:r>
          </w:p>
        </w:tc>
      </w:tr>
      <w:tr w:rsidTr="003C7009">
        <w:tblPrEx>
          <w:tblW w:w="0" w:type="auto"/>
          <w:tblLayout w:type="fixed"/>
          <w:tblCellMar>
            <w:left w:w="62" w:type="dxa"/>
            <w:right w:w="62" w:type="dxa"/>
          </w:tblCellMar>
          <w:tblLook w:val="0000"/>
        </w:tblPrEx>
        <w:tc>
          <w:tcPr>
            <w:tcW w:w="1936"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MEM13015</w:t>
            </w:r>
          </w:p>
        </w:tc>
        <w:tc>
          <w:tcPr>
            <w:tcW w:w="7244"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 xml:space="preserve">Work safely and </w:t>
            </w:r>
            <w:r w:rsidRPr="003C7009">
              <w:t>effectively in manufacturing and engineering</w:t>
            </w:r>
          </w:p>
        </w:tc>
      </w:tr>
      <w:tr w:rsidTr="003C7009">
        <w:tblPrEx>
          <w:tblW w:w="0" w:type="auto"/>
          <w:tblLayout w:type="fixed"/>
          <w:tblCellMar>
            <w:left w:w="62" w:type="dxa"/>
            <w:right w:w="62" w:type="dxa"/>
          </w:tblCellMar>
          <w:tblLook w:val="0000"/>
        </w:tblPrEx>
        <w:tc>
          <w:tcPr>
            <w:tcW w:w="1936"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MEM16006</w:t>
            </w:r>
          </w:p>
        </w:tc>
        <w:tc>
          <w:tcPr>
            <w:tcW w:w="7244"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Organise and communicate information</w:t>
            </w:r>
          </w:p>
        </w:tc>
      </w:tr>
      <w:tr w:rsidTr="003C7009">
        <w:tblPrEx>
          <w:tblW w:w="0" w:type="auto"/>
          <w:tblLayout w:type="fixed"/>
          <w:tblCellMar>
            <w:left w:w="62" w:type="dxa"/>
            <w:right w:w="62" w:type="dxa"/>
          </w:tblCellMar>
          <w:tblLook w:val="0000"/>
        </w:tblPrEx>
        <w:tc>
          <w:tcPr>
            <w:tcW w:w="1936"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MEM18001</w:t>
            </w:r>
          </w:p>
        </w:tc>
        <w:tc>
          <w:tcPr>
            <w:tcW w:w="7244"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Use hand tools</w:t>
            </w:r>
          </w:p>
        </w:tc>
      </w:tr>
      <w:tr w:rsidTr="003C7009">
        <w:tblPrEx>
          <w:tblW w:w="0" w:type="auto"/>
          <w:tblLayout w:type="fixed"/>
          <w:tblCellMar>
            <w:left w:w="62" w:type="dxa"/>
            <w:right w:w="62" w:type="dxa"/>
          </w:tblCellMar>
          <w:tblLook w:val="0000"/>
        </w:tblPrEx>
        <w:tc>
          <w:tcPr>
            <w:tcW w:w="1936"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MEM18002</w:t>
            </w:r>
          </w:p>
        </w:tc>
        <w:tc>
          <w:tcPr>
            <w:tcW w:w="7244"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Use power tools/hand held operations</w:t>
            </w:r>
          </w:p>
        </w:tc>
      </w:tr>
      <w:tr w:rsidTr="003C7009">
        <w:tblPrEx>
          <w:tblW w:w="0" w:type="auto"/>
          <w:tblLayout w:type="fixed"/>
          <w:tblCellMar>
            <w:left w:w="62" w:type="dxa"/>
            <w:right w:w="62" w:type="dxa"/>
          </w:tblCellMar>
          <w:tblLook w:val="0000"/>
        </w:tblPrEx>
        <w:tc>
          <w:tcPr>
            <w:tcW w:w="1936"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MEM18003</w:t>
            </w:r>
          </w:p>
        </w:tc>
        <w:tc>
          <w:tcPr>
            <w:tcW w:w="7244" w:type="dxa"/>
            <w:tcBorders>
              <w:top w:val="nil"/>
              <w:left w:val="nil"/>
              <w:bottom w:val="nil"/>
              <w:right w:val="nil"/>
            </w:tcBorders>
            <w:tcMar>
              <w:top w:w="0" w:type="dxa"/>
              <w:left w:w="62" w:type="dxa"/>
              <w:bottom w:w="0" w:type="dxa"/>
              <w:right w:w="62" w:type="dxa"/>
            </w:tcMar>
          </w:tcPr>
          <w:p w:rsidR="00000000" w:rsidRPr="003C7009" w:rsidP="003C7009">
            <w:pPr>
              <w:pStyle w:val="BodyText"/>
            </w:pPr>
            <w:r w:rsidRPr="003C7009">
              <w:t>Use tools for precision work</w:t>
            </w:r>
          </w:p>
        </w:tc>
      </w:tr>
    </w:tbl>
    <w:p w:rsidR="00000000" w:rsidRPr="003C7009" w:rsidP="003C7009">
      <w:pPr>
        <w:pStyle w:val="BodyText"/>
      </w:pPr>
    </w:p>
    <w:p w:rsidR="00000000" w:rsidRPr="003C7009" w:rsidP="003C7009">
      <w:pPr>
        <w:pStyle w:val="AllowPageBreak"/>
      </w:pPr>
    </w:p>
    <w:p w:rsidR="00000000" w:rsidRPr="003C7009" w:rsidP="003C7009">
      <w:pPr>
        <w:pStyle w:val="Heading1"/>
      </w:pPr>
      <w:bookmarkStart w:id="4" w:name="O_946576"/>
      <w:bookmarkEnd w:id="4"/>
      <w:r w:rsidRPr="003C7009">
        <w:t>Competency Field</w:t>
      </w:r>
    </w:p>
    <w:p w:rsidR="00000000" w:rsidRPr="003C7009" w:rsidP="002B1C30">
      <w:pPr>
        <w:pStyle w:val="BodyText"/>
      </w:pPr>
      <w:r w:rsidRPr="003C7009">
        <w:t>Jewellery and horological</w:t>
      </w:r>
    </w:p>
    <w:p w:rsidR="00000000" w:rsidRPr="003C7009" w:rsidP="003C7009">
      <w:pPr>
        <w:pStyle w:val="Heading1"/>
      </w:pPr>
      <w:bookmarkStart w:id="5" w:name="O_946574"/>
      <w:bookmarkEnd w:id="5"/>
      <w:r w:rsidRPr="003C7009">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3C7009">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Performance criteria describe the performance needed to demonstrate achievement of the element.</w:t>
            </w:r>
          </w:p>
        </w:tc>
      </w:tr>
      <w:tr w:rsidTr="003C70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C7009" w:rsidP="003C7009">
            <w:pPr>
              <w:pStyle w:val="BodyText"/>
            </w:pPr>
            <w:r w:rsidRPr="003C7009">
              <w:t>1</w:t>
            </w:r>
          </w:p>
        </w:tc>
        <w:tc>
          <w:tcPr>
            <w:tcW w:w="1986" w:type="dxa"/>
            <w:vMerge w:val="restart"/>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1.1</w:t>
            </w:r>
          </w:p>
        </w:tc>
        <w:tc>
          <w:tcPr>
            <w:tcW w:w="5678"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Follow standard operating procedures (SOPs)</w:t>
            </w:r>
          </w:p>
        </w:tc>
      </w:tr>
      <w:tr w:rsidTr="003C70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1.2</w:t>
            </w:r>
          </w:p>
        </w:tc>
        <w:tc>
          <w:tcPr>
            <w:tcW w:w="5678"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Comply with work health and safety (WHS) requirements at all times</w:t>
            </w:r>
          </w:p>
        </w:tc>
      </w:tr>
      <w:tr w:rsidTr="003C70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1.3</w:t>
            </w:r>
          </w:p>
        </w:tc>
        <w:tc>
          <w:tcPr>
            <w:tcW w:w="5678"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Use appropriate personal protective equipment (PPE) in accordance with SOPs</w:t>
            </w:r>
          </w:p>
        </w:tc>
      </w:tr>
      <w:tr w:rsidTr="003C70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1.4</w:t>
            </w:r>
          </w:p>
        </w:tc>
        <w:tc>
          <w:tcPr>
            <w:tcW w:w="5678"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Identify job requirements from specifications, drawings, job sheets or work instructions</w:t>
            </w:r>
          </w:p>
        </w:tc>
      </w:tr>
      <w:tr w:rsidTr="003C700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C7009">
            <w:pPr>
              <w:pStyle w:val="BodyText"/>
              <w:rPr>
                <w:lang w:val="en-NZ"/>
              </w:rPr>
            </w:pPr>
          </w:p>
        </w:tc>
      </w:tr>
      <w:tr w:rsidTr="003C70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C7009" w:rsidP="003C7009">
            <w:pPr>
              <w:pStyle w:val="BodyText"/>
            </w:pPr>
            <w:r w:rsidRPr="003C7009">
              <w:t>2</w:t>
            </w:r>
          </w:p>
        </w:tc>
        <w:tc>
          <w:tcPr>
            <w:tcW w:w="1986" w:type="dxa"/>
            <w:vMerge w:val="restart"/>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rPr>
                <w:rStyle w:val="SpecialBold"/>
              </w:rPr>
              <w:t>Prepare materials for production of wax model</w:t>
            </w:r>
          </w:p>
        </w:tc>
        <w:tc>
          <w:tcPr>
            <w:tcW w:w="779"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2.1</w:t>
            </w:r>
          </w:p>
        </w:tc>
        <w:tc>
          <w:tcPr>
            <w:tcW w:w="5678"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Select waxes and tools</w:t>
            </w:r>
          </w:p>
        </w:tc>
      </w:tr>
      <w:tr w:rsidTr="003C70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2.2</w:t>
            </w:r>
          </w:p>
        </w:tc>
        <w:tc>
          <w:tcPr>
            <w:tcW w:w="5678"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 xml:space="preserve">Cut stock materials </w:t>
            </w:r>
          </w:p>
        </w:tc>
      </w:tr>
      <w:tr w:rsidTr="003C700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C7009">
            <w:pPr>
              <w:pStyle w:val="BodyText"/>
              <w:rPr>
                <w:lang w:val="en-NZ"/>
              </w:rPr>
            </w:pPr>
          </w:p>
        </w:tc>
      </w:tr>
      <w:tr w:rsidTr="003C70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C7009" w:rsidP="003C7009">
            <w:pPr>
              <w:pStyle w:val="BodyText"/>
            </w:pPr>
            <w:r w:rsidRPr="003C7009">
              <w:t>3</w:t>
            </w:r>
          </w:p>
        </w:tc>
        <w:tc>
          <w:tcPr>
            <w:tcW w:w="1986" w:type="dxa"/>
            <w:vMerge w:val="restart"/>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rPr>
                <w:rStyle w:val="SpecialBold"/>
              </w:rPr>
              <w:t>Produce and finish wax models</w:t>
            </w:r>
          </w:p>
        </w:tc>
        <w:tc>
          <w:tcPr>
            <w:tcW w:w="779"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3.1</w:t>
            </w:r>
          </w:p>
        </w:tc>
        <w:tc>
          <w:tcPr>
            <w:tcW w:w="5678"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Optimise material use and production time</w:t>
            </w:r>
          </w:p>
        </w:tc>
      </w:tr>
      <w:tr w:rsidTr="003C70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3.2</w:t>
            </w:r>
          </w:p>
        </w:tc>
        <w:tc>
          <w:tcPr>
            <w:tcW w:w="5678"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Sculpt wax to specifications</w:t>
            </w:r>
          </w:p>
        </w:tc>
      </w:tr>
      <w:tr w:rsidTr="003C70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3.3</w:t>
            </w:r>
          </w:p>
        </w:tc>
        <w:tc>
          <w:tcPr>
            <w:tcW w:w="5678"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Minimise imperfections in final wax model</w:t>
            </w:r>
          </w:p>
        </w:tc>
      </w:tr>
      <w:tr w:rsidTr="003C70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3.4</w:t>
            </w:r>
          </w:p>
        </w:tc>
        <w:tc>
          <w:tcPr>
            <w:tcW w:w="5678"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 xml:space="preserve">Apply surface finishes </w:t>
            </w:r>
          </w:p>
        </w:tc>
      </w:tr>
      <w:tr w:rsidTr="003C700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C7009">
            <w:pPr>
              <w:pStyle w:val="BodyText"/>
              <w:rPr>
                <w:lang w:val="en-NZ"/>
              </w:rPr>
            </w:pPr>
          </w:p>
        </w:tc>
      </w:tr>
      <w:tr w:rsidTr="003C70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C7009" w:rsidP="003C7009">
            <w:pPr>
              <w:pStyle w:val="BodyText"/>
            </w:pPr>
            <w:r w:rsidRPr="003C7009">
              <w:t>4</w:t>
            </w:r>
          </w:p>
        </w:tc>
        <w:tc>
          <w:tcPr>
            <w:tcW w:w="1986" w:type="dxa"/>
            <w:vMerge w:val="restart"/>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rPr>
                <w:rStyle w:val="SpecialBold"/>
              </w:rPr>
              <w:t>Assess suitability of final wax product</w:t>
            </w:r>
          </w:p>
        </w:tc>
        <w:tc>
          <w:tcPr>
            <w:tcW w:w="779"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4.1</w:t>
            </w:r>
          </w:p>
        </w:tc>
        <w:tc>
          <w:tcPr>
            <w:tcW w:w="5678"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Inspect product for compliance with specifications</w:t>
            </w:r>
          </w:p>
        </w:tc>
      </w:tr>
      <w:tr w:rsidTr="003C700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4.2</w:t>
            </w:r>
          </w:p>
        </w:tc>
        <w:tc>
          <w:tcPr>
            <w:tcW w:w="5678" w:type="dxa"/>
            <w:tcBorders>
              <w:top w:val="nil"/>
              <w:left w:val="nil"/>
              <w:bottom w:val="nil"/>
              <w:right w:val="nil"/>
            </w:tcBorders>
            <w:tcMar>
              <w:top w:w="0" w:type="dxa"/>
              <w:left w:w="62" w:type="dxa"/>
              <w:bottom w:w="0" w:type="dxa"/>
              <w:right w:w="62" w:type="dxa"/>
            </w:tcMar>
          </w:tcPr>
          <w:p w:rsidR="00000000" w:rsidRPr="003C7009" w:rsidP="003C7009">
            <w:pPr>
              <w:pStyle w:val="BodyText"/>
            </w:pPr>
            <w:r w:rsidRPr="003C7009">
              <w:t>Modify final product, as necessary</w:t>
            </w:r>
          </w:p>
        </w:tc>
      </w:tr>
    </w:tbl>
    <w:p w:rsidR="00000000" w:rsidRPr="003C7009" w:rsidP="003C7009">
      <w:pPr>
        <w:pStyle w:val="BodyText"/>
      </w:pPr>
    </w:p>
    <w:p w:rsidR="00000000" w:rsidRPr="003C7009" w:rsidP="003C7009">
      <w:pPr>
        <w:pStyle w:val="AllowPageBreak"/>
      </w:pPr>
    </w:p>
    <w:p w:rsidR="00000000" w:rsidRPr="003C7009" w:rsidP="003C7009">
      <w:pPr>
        <w:pStyle w:val="Heading1"/>
      </w:pPr>
      <w:bookmarkStart w:id="6" w:name="O_946573"/>
      <w:bookmarkEnd w:id="6"/>
      <w:r w:rsidRPr="003C7009">
        <w:t>Foundation Skills</w:t>
      </w:r>
    </w:p>
    <w:p w:rsidR="00000000" w:rsidRPr="003C7009" w:rsidP="002B1C30">
      <w:pPr>
        <w:pStyle w:val="BodyText"/>
      </w:pPr>
      <w:r w:rsidRPr="003C7009">
        <w:t>This section describes those required skills (reading, writing, oral communication and numeracy) that are essential to workpla</w:t>
      </w:r>
      <w:r w:rsidRPr="003C7009">
        <w:t xml:space="preserve">ce performance in this unit of competency.  </w:t>
      </w:r>
    </w:p>
    <w:p w:rsidR="00000000" w:rsidRPr="003C7009" w:rsidP="002B1C30">
      <w:pPr>
        <w:pStyle w:val="BodyText"/>
      </w:pPr>
      <w:r w:rsidRPr="003C7009">
        <w:t>Foundation skills essential to performance are explicit in the performance criteria of this unit of competency.</w:t>
      </w:r>
    </w:p>
    <w:p w:rsidR="00000000" w:rsidRPr="003C7009" w:rsidP="003C7009">
      <w:pPr>
        <w:pStyle w:val="Heading1"/>
      </w:pPr>
      <w:bookmarkStart w:id="7" w:name="O_946572"/>
      <w:bookmarkEnd w:id="7"/>
      <w:r w:rsidRPr="003C7009">
        <w:t>Range of Conditions</w:t>
      </w:r>
    </w:p>
    <w:tbl>
      <w:tblPr>
        <w:tblW w:w="0" w:type="auto"/>
        <w:tblLayout w:type="fixed"/>
        <w:tblCellMar>
          <w:left w:w="62" w:type="dxa"/>
          <w:right w:w="62" w:type="dxa"/>
        </w:tblCellMar>
        <w:tblLook w:val="0000"/>
      </w:tblPr>
      <w:tblGrid>
        <w:gridCol w:w="2760"/>
        <w:gridCol w:w="6312"/>
      </w:tblGrid>
      <w:tr w:rsidTr="003C700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t>This field allows for different work environments and conditions that may affect performance. Essential operating conditions that may be present (depending on the work situation, needs of the candidate, accessibility of the item, and local industry and reg</w:t>
            </w:r>
            <w:r w:rsidRPr="003C7009">
              <w:t>ional contexts) are included.</w:t>
            </w:r>
          </w:p>
        </w:tc>
      </w:tr>
      <w:tr w:rsidTr="003C7009">
        <w:tblPrEx>
          <w:tblW w:w="0" w:type="auto"/>
          <w:tblLayout w:type="fixed"/>
          <w:tblCellMar>
            <w:left w:w="62" w:type="dxa"/>
            <w:right w:w="62" w:type="dxa"/>
          </w:tblCellMar>
          <w:tblLook w:val="0000"/>
        </w:tblPrEx>
        <w:trPr>
          <w:trHeight w:val="1167"/>
        </w:trPr>
        <w:tc>
          <w:tcPr>
            <w:tcW w:w="2760"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rPr>
                <w:rStyle w:val="SpecialBold"/>
              </w:rPr>
              <w:t>Wax models include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3C7009" w:rsidP="003C7009">
            <w:pPr>
              <w:pStyle w:val="ListBullet"/>
            </w:pPr>
            <w:r w:rsidRPr="003C7009">
              <w:t xml:space="preserve">carved forms </w:t>
            </w:r>
          </w:p>
          <w:p w:rsidR="00000000" w:rsidRPr="003C7009" w:rsidP="003C7009">
            <w:pPr>
              <w:pStyle w:val="ListBullet"/>
            </w:pPr>
            <w:r w:rsidRPr="003C7009">
              <w:t xml:space="preserve">structural forms </w:t>
            </w:r>
          </w:p>
          <w:p w:rsidR="00000000" w:rsidP="003C7009">
            <w:pPr>
              <w:pStyle w:val="ListBullet"/>
              <w:rPr>
                <w:lang w:val="en-NZ"/>
              </w:rPr>
            </w:pPr>
            <w:r w:rsidRPr="003C7009">
              <w:t xml:space="preserve">free-form carving </w:t>
            </w:r>
          </w:p>
        </w:tc>
      </w:tr>
      <w:tr w:rsidTr="003C7009">
        <w:tblPrEx>
          <w:tblW w:w="0" w:type="auto"/>
          <w:tblLayout w:type="fixed"/>
          <w:tblCellMar>
            <w:left w:w="62" w:type="dxa"/>
            <w:right w:w="62" w:type="dxa"/>
          </w:tblCellMar>
          <w:tblLook w:val="0000"/>
        </w:tblPrEx>
        <w:trPr>
          <w:trHeight w:val="2205"/>
        </w:trPr>
        <w:tc>
          <w:tcPr>
            <w:tcW w:w="2760"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rPr>
                <w:rStyle w:val="SpecialBold"/>
              </w:rPr>
              <w:t>Tools include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3C7009" w:rsidP="003C7009">
            <w:pPr>
              <w:pStyle w:val="ListBullet"/>
            </w:pPr>
            <w:r w:rsidRPr="003C7009">
              <w:t>heat irons</w:t>
            </w:r>
          </w:p>
          <w:p w:rsidR="00000000" w:rsidRPr="003C7009" w:rsidP="003C7009">
            <w:pPr>
              <w:pStyle w:val="ListBullet"/>
            </w:pPr>
            <w:r w:rsidRPr="003C7009">
              <w:t>wax guns</w:t>
            </w:r>
          </w:p>
          <w:p w:rsidR="00000000" w:rsidRPr="003C7009" w:rsidP="003C7009">
            <w:pPr>
              <w:pStyle w:val="ListBullet"/>
            </w:pPr>
            <w:r w:rsidRPr="003C7009">
              <w:t>saws</w:t>
            </w:r>
          </w:p>
          <w:p w:rsidR="00000000" w:rsidRPr="003C7009" w:rsidP="003C7009">
            <w:pPr>
              <w:pStyle w:val="ListBullet"/>
            </w:pPr>
            <w:r w:rsidRPr="003C7009">
              <w:t>carving tools</w:t>
            </w:r>
          </w:p>
          <w:p w:rsidR="00000000" w:rsidRPr="003C7009" w:rsidP="003C7009">
            <w:pPr>
              <w:pStyle w:val="ListBullet"/>
            </w:pPr>
            <w:r w:rsidRPr="003C7009">
              <w:t>wax files</w:t>
            </w:r>
          </w:p>
          <w:p w:rsidR="00000000" w:rsidP="003C7009">
            <w:pPr>
              <w:pStyle w:val="ListBullet"/>
              <w:rPr>
                <w:lang w:val="en-NZ"/>
              </w:rPr>
            </w:pPr>
            <w:r w:rsidRPr="003C7009">
              <w:t>flaming torch</w:t>
            </w:r>
          </w:p>
        </w:tc>
      </w:tr>
      <w:tr w:rsidTr="003C7009">
        <w:tblPrEx>
          <w:tblW w:w="0" w:type="auto"/>
          <w:tblLayout w:type="fixed"/>
          <w:tblCellMar>
            <w:left w:w="62" w:type="dxa"/>
            <w:right w:w="62" w:type="dxa"/>
          </w:tblCellMar>
          <w:tblLook w:val="0000"/>
        </w:tblPrEx>
        <w:trPr>
          <w:trHeight w:val="1156"/>
        </w:trPr>
        <w:tc>
          <w:tcPr>
            <w:tcW w:w="2760"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rPr>
                <w:rStyle w:val="SpecialBold"/>
              </w:rPr>
              <w:t>Surface finishes include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3C7009" w:rsidP="003C7009">
            <w:pPr>
              <w:pStyle w:val="ListBullet"/>
            </w:pPr>
            <w:r w:rsidRPr="003C7009">
              <w:t>fine emery</w:t>
            </w:r>
          </w:p>
          <w:p w:rsidR="00000000" w:rsidRPr="003C7009" w:rsidP="003C7009">
            <w:pPr>
              <w:pStyle w:val="ListBullet"/>
            </w:pPr>
            <w:r w:rsidRPr="003C7009">
              <w:t>Shellite</w:t>
            </w:r>
          </w:p>
          <w:p w:rsidR="00000000" w:rsidP="003C7009">
            <w:pPr>
              <w:pStyle w:val="ListBullet"/>
              <w:rPr>
                <w:lang w:val="en-NZ"/>
              </w:rPr>
            </w:pPr>
            <w:r w:rsidRPr="003C7009">
              <w:t>high polishes</w:t>
            </w:r>
          </w:p>
        </w:tc>
      </w:tr>
      <w:tr w:rsidTr="003C7009">
        <w:tblPrEx>
          <w:tblW w:w="0" w:type="auto"/>
          <w:tblLayout w:type="fixed"/>
          <w:tblCellMar>
            <w:left w:w="62" w:type="dxa"/>
            <w:right w:w="62" w:type="dxa"/>
          </w:tblCellMar>
          <w:tblLook w:val="0000"/>
        </w:tblPrEx>
        <w:trPr>
          <w:trHeight w:val="1477"/>
        </w:trPr>
        <w:tc>
          <w:tcPr>
            <w:tcW w:w="2760"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rPr>
                <w:rStyle w:val="SpecialBold"/>
              </w:rPr>
              <w:t>Stock materials</w:t>
            </w:r>
            <w:r w:rsidRPr="003C7009">
              <w:t xml:space="preserve"> </w:t>
            </w:r>
            <w:r w:rsidRPr="003C7009">
              <w:rPr>
                <w:rStyle w:val="SpecialBold"/>
              </w:rPr>
              <w:t>include variety in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3C7009" w:rsidP="003C7009">
            <w:pPr>
              <w:pStyle w:val="ListBullet"/>
            </w:pPr>
            <w:r w:rsidRPr="003C7009">
              <w:t>colour</w:t>
            </w:r>
          </w:p>
          <w:p w:rsidR="00000000" w:rsidRPr="003C7009" w:rsidP="003C7009">
            <w:pPr>
              <w:pStyle w:val="ListBullet"/>
            </w:pPr>
            <w:r w:rsidRPr="003C7009">
              <w:t xml:space="preserve">hardness </w:t>
            </w:r>
          </w:p>
          <w:p w:rsidR="00000000" w:rsidRPr="003C7009" w:rsidP="003C7009">
            <w:pPr>
              <w:pStyle w:val="ListBullet"/>
            </w:pPr>
            <w:r w:rsidRPr="003C7009">
              <w:t xml:space="preserve">properties </w:t>
            </w:r>
          </w:p>
          <w:p w:rsidR="00000000" w:rsidP="003C7009">
            <w:pPr>
              <w:pStyle w:val="ListBullet"/>
              <w:rPr>
                <w:lang w:val="en-NZ"/>
              </w:rPr>
            </w:pPr>
            <w:r w:rsidRPr="003C7009">
              <w:t>length</w:t>
            </w:r>
          </w:p>
        </w:tc>
      </w:tr>
      <w:tr w:rsidTr="003C7009">
        <w:tblPrEx>
          <w:tblW w:w="0" w:type="auto"/>
          <w:tblLayout w:type="fixed"/>
          <w:tblCellMar>
            <w:left w:w="62" w:type="dxa"/>
            <w:right w:w="62" w:type="dxa"/>
          </w:tblCellMar>
          <w:tblLook w:val="0000"/>
        </w:tblPrEx>
        <w:trPr>
          <w:trHeight w:val="1477"/>
        </w:trPr>
        <w:tc>
          <w:tcPr>
            <w:tcW w:w="2760" w:type="dxa"/>
            <w:tcBorders>
              <w:top w:val="nil"/>
              <w:left w:val="nil"/>
              <w:bottom w:val="nil"/>
              <w:right w:val="nil"/>
            </w:tcBorders>
            <w:tcMar>
              <w:top w:w="0" w:type="dxa"/>
              <w:left w:w="62" w:type="dxa"/>
              <w:bottom w:w="0" w:type="dxa"/>
              <w:right w:w="62" w:type="dxa"/>
            </w:tcMar>
          </w:tcPr>
          <w:p w:rsidR="00000000" w:rsidP="003C7009">
            <w:pPr>
              <w:pStyle w:val="BodyText"/>
              <w:rPr>
                <w:lang w:val="en-NZ"/>
              </w:rPr>
            </w:pPr>
            <w:r w:rsidRPr="003C7009">
              <w:rPr>
                <w:rStyle w:val="SpecialBold"/>
              </w:rPr>
              <w:t>Inspection includes checking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3C7009" w:rsidP="003C7009">
            <w:pPr>
              <w:pStyle w:val="ListBullet"/>
            </w:pPr>
            <w:r w:rsidRPr="003C7009">
              <w:t xml:space="preserve">tolerances </w:t>
            </w:r>
          </w:p>
          <w:p w:rsidR="00000000" w:rsidRPr="003C7009" w:rsidP="003C7009">
            <w:pPr>
              <w:pStyle w:val="ListBullet"/>
            </w:pPr>
            <w:r w:rsidRPr="003C7009">
              <w:t xml:space="preserve">allowance for casting shrinkage </w:t>
            </w:r>
          </w:p>
          <w:p w:rsidR="00000000" w:rsidRPr="003C7009" w:rsidP="003C7009">
            <w:pPr>
              <w:pStyle w:val="ListBullet"/>
            </w:pPr>
            <w:r w:rsidRPr="003C7009">
              <w:t>allowance for finishing processes</w:t>
            </w:r>
          </w:p>
        </w:tc>
      </w:tr>
    </w:tbl>
    <w:p w:rsidR="00000000" w:rsidRPr="003C7009" w:rsidP="003C7009">
      <w:pPr>
        <w:pStyle w:val="BodyText"/>
      </w:pPr>
    </w:p>
    <w:p w:rsidR="00000000" w:rsidRPr="003C7009" w:rsidP="003C7009">
      <w:pPr>
        <w:pStyle w:val="AllowPageBreak"/>
      </w:pPr>
    </w:p>
    <w:p w:rsidR="00000000" w:rsidRPr="003C7009" w:rsidP="003C7009">
      <w:pPr>
        <w:pStyle w:val="Heading1"/>
      </w:pPr>
      <w:bookmarkStart w:id="8" w:name="O_946571"/>
      <w:bookmarkEnd w:id="8"/>
      <w:r w:rsidRPr="003C7009">
        <w:t>Unit Mapping Information</w:t>
      </w:r>
    </w:p>
    <w:p w:rsidR="00000000" w:rsidRPr="003C7009" w:rsidP="002B1C30">
      <w:pPr>
        <w:pStyle w:val="BodyText"/>
      </w:pPr>
      <w:r w:rsidRPr="003C7009">
        <w:t xml:space="preserve">Release 1. Supersedes and is equivalent to MEM19012B Produce jewellery wax model </w:t>
      </w:r>
    </w:p>
    <w:p w:rsidR="00000000" w:rsidRPr="003C7009" w:rsidP="003C7009">
      <w:pPr>
        <w:pStyle w:val="Heading1"/>
      </w:pPr>
      <w:bookmarkStart w:id="9" w:name="O_946564"/>
      <w:bookmarkEnd w:id="9"/>
      <w:r w:rsidRPr="003C7009">
        <w:t>Links</w:t>
      </w:r>
    </w:p>
    <w:p w:rsidR="00000000" w:rsidRPr="003C7009" w:rsidP="002B1C30">
      <w:pPr>
        <w:pStyle w:val="BodyText"/>
      </w:pPr>
      <w:r w:rsidRPr="003C700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20CEA">
        <w:rPr>
          <w:rStyle w:val="Hyperlink"/>
        </w:rPr>
        <w:t>https://vetnet.gov.au/Pages/TrainingDocs.aspx?q=b7050d37-5fd0-4740-8f7d-3b7a49c10bb2</w:t>
      </w:r>
      <w:r>
        <w:fldChar w:fldCharType="end"/>
      </w:r>
    </w:p>
    <w:p w:rsidR="00000000" w:rsidRPr="003C7009" w:rsidP="003C7009"/>
    <w:sectPr w:rsidSect="003C70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0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009" w:rsidRPr="002B1C30" w:rsidP="002B1C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0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C30" w:rsidP="003C70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1C30" w:rsidP="003C700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B1C30" w:rsidP="003C70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0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C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7009" w:rsidRPr="002B1C30" w:rsidP="002B1C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0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C30" w:rsidRPr="002D2AF8" w:rsidP="003C7009">
    <w:pPr>
      <w:pStyle w:val="Header"/>
      <w:framePr w:wrap="around"/>
    </w:pPr>
    <w:r>
      <w:fldChar w:fldCharType="begin"/>
    </w:r>
    <w:r>
      <w:instrText xml:space="preserve"> TITLE   \* MERGEFORMAT </w:instrText>
    </w:r>
    <w:r>
      <w:fldChar w:fldCharType="separate"/>
    </w:r>
    <w:r>
      <w:t>MEM19012 Produce jewellery wax model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B1C30" w:rsidP="003C70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F276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1E67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0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7009"/>
    <w:pPr>
      <w:spacing w:before="360" w:after="60"/>
      <w:outlineLvl w:val="0"/>
    </w:pPr>
    <w:rPr>
      <w:sz w:val="32"/>
    </w:rPr>
  </w:style>
  <w:style w:type="paragraph" w:styleId="Heading2">
    <w:name w:val="heading 2"/>
    <w:basedOn w:val="HeadingBase"/>
    <w:next w:val="BodyText"/>
    <w:link w:val="Heading2Char"/>
    <w:qFormat/>
    <w:rsid w:val="003C7009"/>
    <w:pPr>
      <w:keepLines/>
      <w:spacing w:before="240" w:after="120"/>
      <w:outlineLvl w:val="1"/>
    </w:pPr>
    <w:rPr>
      <w:sz w:val="28"/>
      <w:szCs w:val="40"/>
    </w:rPr>
  </w:style>
  <w:style w:type="paragraph" w:styleId="Heading3">
    <w:name w:val="heading 3"/>
    <w:basedOn w:val="HeadingBase"/>
    <w:next w:val="BodyText"/>
    <w:link w:val="Heading3Char"/>
    <w:qFormat/>
    <w:rsid w:val="003C7009"/>
    <w:pPr>
      <w:spacing w:before="180" w:after="120"/>
      <w:outlineLvl w:val="2"/>
    </w:pPr>
    <w:rPr>
      <w:spacing w:val="-10"/>
      <w:kern w:val="32"/>
    </w:rPr>
  </w:style>
  <w:style w:type="paragraph" w:styleId="Heading4">
    <w:name w:val="heading 4"/>
    <w:basedOn w:val="HeadingBase"/>
    <w:next w:val="BodyText"/>
    <w:link w:val="Heading4Char"/>
    <w:qFormat/>
    <w:rsid w:val="003C7009"/>
    <w:pPr>
      <w:spacing w:before="160" w:after="120"/>
      <w:outlineLvl w:val="3"/>
    </w:pPr>
    <w:rPr>
      <w:sz w:val="22"/>
    </w:rPr>
  </w:style>
  <w:style w:type="paragraph" w:styleId="Heading5">
    <w:name w:val="heading 5"/>
    <w:basedOn w:val="HeadingBase"/>
    <w:next w:val="Normal"/>
    <w:link w:val="Heading5Char"/>
    <w:qFormat/>
    <w:rsid w:val="003C7009"/>
    <w:pPr>
      <w:spacing w:before="80"/>
      <w:outlineLvl w:val="4"/>
    </w:pPr>
    <w:rPr>
      <w:color w:val="918585"/>
      <w:sz w:val="20"/>
    </w:rPr>
  </w:style>
  <w:style w:type="paragraph" w:styleId="Heading6">
    <w:name w:val="heading 6"/>
    <w:basedOn w:val="HeadingBase"/>
    <w:next w:val="Normal"/>
    <w:link w:val="Heading6Char"/>
    <w:qFormat/>
    <w:rsid w:val="003C7009"/>
    <w:pPr>
      <w:spacing w:before="60"/>
      <w:outlineLvl w:val="5"/>
    </w:pPr>
    <w:rPr>
      <w:color w:val="918585"/>
      <w:sz w:val="20"/>
    </w:rPr>
  </w:style>
  <w:style w:type="paragraph" w:styleId="Heading7">
    <w:name w:val="heading 7"/>
    <w:basedOn w:val="Normal"/>
    <w:next w:val="Normal"/>
    <w:link w:val="Heading7Char"/>
    <w:qFormat/>
    <w:rsid w:val="003C7009"/>
    <w:pPr>
      <w:ind w:left="720"/>
      <w:outlineLvl w:val="6"/>
    </w:pPr>
    <w:rPr>
      <w:i/>
    </w:rPr>
  </w:style>
  <w:style w:type="paragraph" w:styleId="Heading8">
    <w:name w:val="heading 8"/>
    <w:basedOn w:val="Normal"/>
    <w:next w:val="Normal"/>
    <w:link w:val="Heading8Char"/>
    <w:qFormat/>
    <w:rsid w:val="003C7009"/>
    <w:pPr>
      <w:ind w:left="720"/>
      <w:outlineLvl w:val="7"/>
    </w:pPr>
    <w:rPr>
      <w:i/>
    </w:rPr>
  </w:style>
  <w:style w:type="paragraph" w:styleId="Heading9">
    <w:name w:val="heading 9"/>
    <w:basedOn w:val="Normal"/>
    <w:next w:val="Normal"/>
    <w:link w:val="Heading9Char"/>
    <w:qFormat/>
    <w:rsid w:val="003C7009"/>
    <w:pPr>
      <w:ind w:left="720"/>
      <w:outlineLvl w:val="8"/>
    </w:pPr>
    <w:rPr>
      <w:i/>
    </w:rPr>
  </w:style>
  <w:style w:type="character" w:default="1" w:styleId="DefaultParagraphFont">
    <w:name w:val="Default Paragraph Font"/>
    <w:uiPriority w:val="1"/>
    <w:unhideWhenUsed/>
    <w:rsid w:val="003C70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009"/>
  </w:style>
  <w:style w:type="character" w:customStyle="1" w:styleId="Heading1Char">
    <w:name w:val="Heading 1 Char"/>
    <w:basedOn w:val="DefaultParagraphFont"/>
    <w:link w:val="Heading1"/>
    <w:rsid w:val="003C7009"/>
    <w:rPr>
      <w:rFonts w:ascii="Times New Roman" w:eastAsia="Times New Roman" w:hAnsi="Times New Roman" w:cs="Times New Roman"/>
      <w:b/>
      <w:sz w:val="32"/>
      <w:szCs w:val="20"/>
      <w:lang w:eastAsia="en-US"/>
    </w:rPr>
  </w:style>
  <w:style w:type="paragraph" w:styleId="BodyText">
    <w:name w:val="Body Text"/>
    <w:basedOn w:val="Normal"/>
    <w:link w:val="BodyTextChar"/>
    <w:rsid w:val="003C70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7009"/>
    <w:rPr>
      <w:rFonts w:ascii="Times New Roman" w:eastAsia="Times New Roman" w:hAnsi="Times New Roman" w:cs="Times New Roman"/>
      <w:sz w:val="24"/>
      <w:lang w:eastAsia="en-US"/>
    </w:rPr>
  </w:style>
  <w:style w:type="paragraph" w:styleId="ListBullet">
    <w:name w:val="List Bullet"/>
    <w:basedOn w:val="List"/>
    <w:rsid w:val="003C7009"/>
    <w:pPr>
      <w:numPr>
        <w:numId w:val="11"/>
      </w:numPr>
      <w:tabs>
        <w:tab w:val="clear" w:pos="340"/>
      </w:tabs>
      <w:spacing w:before="40" w:after="40"/>
    </w:pPr>
  </w:style>
  <w:style w:type="character" w:customStyle="1" w:styleId="SpecialBold">
    <w:name w:val="Special Bold"/>
    <w:basedOn w:val="DefaultParagraphFont"/>
    <w:rsid w:val="003C7009"/>
    <w:rPr>
      <w:b/>
      <w:spacing w:val="0"/>
    </w:rPr>
  </w:style>
  <w:style w:type="paragraph" w:customStyle="1" w:styleId="SuperHeading">
    <w:name w:val="SuperHeading"/>
    <w:basedOn w:val="Normal"/>
    <w:rsid w:val="003C7009"/>
    <w:pPr>
      <w:spacing w:before="240" w:after="120"/>
      <w:outlineLvl w:val="0"/>
    </w:pPr>
    <w:rPr>
      <w:rFonts w:ascii="Times New Roman" w:hAnsi="Times New Roman"/>
      <w:b/>
      <w:sz w:val="32"/>
    </w:rPr>
  </w:style>
  <w:style w:type="paragraph" w:customStyle="1" w:styleId="AllowPageBreak">
    <w:name w:val="AllowPageBreak"/>
    <w:rsid w:val="003C70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70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0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0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0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0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0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70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7009"/>
    <w:rPr>
      <w:rFonts w:ascii="Courier New" w:eastAsia="Times New Roman" w:hAnsi="Courier New" w:cs="Times New Roman"/>
      <w:i/>
      <w:szCs w:val="20"/>
      <w:lang w:eastAsia="en-US"/>
    </w:rPr>
  </w:style>
  <w:style w:type="paragraph" w:customStyle="1" w:styleId="HeadingBase">
    <w:name w:val="Heading Base"/>
    <w:rsid w:val="003C70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009"/>
    <w:pPr>
      <w:tabs>
        <w:tab w:val="right" w:leader="dot" w:pos="9072"/>
      </w:tabs>
      <w:ind w:left="567"/>
    </w:pPr>
    <w:rPr>
      <w:szCs w:val="22"/>
    </w:rPr>
  </w:style>
  <w:style w:type="paragraph" w:customStyle="1" w:styleId="TOCBase">
    <w:name w:val="TOC Base"/>
    <w:rsid w:val="003C70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009"/>
    <w:pPr>
      <w:tabs>
        <w:tab w:val="right" w:leader="dot" w:pos="9072"/>
      </w:tabs>
      <w:spacing w:before="40" w:after="40"/>
      <w:ind w:left="284"/>
    </w:pPr>
    <w:rPr>
      <w:rFonts w:ascii="Times New Roman" w:hAnsi="Times New Roman"/>
    </w:rPr>
  </w:style>
  <w:style w:type="paragraph" w:styleId="TOC1">
    <w:name w:val="toc 1"/>
    <w:basedOn w:val="TOCBase"/>
    <w:next w:val="Normal"/>
    <w:rsid w:val="003C70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70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009"/>
    <w:rPr>
      <w:rFonts w:ascii="Times New Roman" w:eastAsia="Times New Roman" w:hAnsi="Times New Roman" w:cs="Times New Roman"/>
      <w:sz w:val="16"/>
      <w:lang w:eastAsia="en-US"/>
    </w:rPr>
  </w:style>
  <w:style w:type="paragraph" w:styleId="Title">
    <w:name w:val="Title"/>
    <w:basedOn w:val="HeadingBase"/>
    <w:link w:val="TitleChar"/>
    <w:qFormat/>
    <w:rsid w:val="003C7009"/>
    <w:pPr>
      <w:spacing w:before="5040"/>
      <w:jc w:val="center"/>
    </w:pPr>
    <w:rPr>
      <w:sz w:val="48"/>
      <w:szCs w:val="72"/>
      <w:lang w:val="en-US"/>
    </w:rPr>
  </w:style>
  <w:style w:type="character" w:customStyle="1" w:styleId="TitleChar">
    <w:name w:val="Title Char"/>
    <w:basedOn w:val="DefaultParagraphFont"/>
    <w:link w:val="Title"/>
    <w:rsid w:val="003C70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009"/>
    <w:pPr>
      <w:tabs>
        <w:tab w:val="left" w:pos="3600"/>
        <w:tab w:val="left" w:pos="3958"/>
      </w:tabs>
    </w:pPr>
  </w:style>
  <w:style w:type="paragraph" w:styleId="List">
    <w:name w:val="List"/>
    <w:basedOn w:val="BodyText"/>
    <w:next w:val="BodyText"/>
    <w:rsid w:val="003C7009"/>
    <w:pPr>
      <w:tabs>
        <w:tab w:val="left" w:pos="340"/>
      </w:tabs>
      <w:spacing w:before="60" w:after="60"/>
      <w:ind w:left="340" w:hanging="340"/>
    </w:pPr>
  </w:style>
  <w:style w:type="paragraph" w:customStyle="1" w:styleId="Note">
    <w:name w:val="Note"/>
    <w:basedOn w:val="BodyText"/>
    <w:rsid w:val="003C70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7009"/>
    <w:pPr>
      <w:framePr w:wrap="auto" w:hAnchor="text" w:y="6049"/>
    </w:pPr>
    <w:rPr>
      <w:color w:val="000000"/>
      <w:sz w:val="40"/>
    </w:rPr>
  </w:style>
  <w:style w:type="paragraph" w:customStyle="1" w:styleId="TOCTitle">
    <w:name w:val="TOCTitle"/>
    <w:basedOn w:val="Heading1"/>
    <w:rsid w:val="003C7009"/>
    <w:pPr>
      <w:spacing w:after="240"/>
      <w:jc w:val="center"/>
      <w:outlineLvl w:val="9"/>
    </w:pPr>
    <w:rPr>
      <w:caps/>
    </w:rPr>
  </w:style>
  <w:style w:type="paragraph" w:customStyle="1" w:styleId="Version">
    <w:name w:val="Version"/>
    <w:rsid w:val="003C70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7009"/>
    <w:pPr>
      <w:numPr>
        <w:numId w:val="12"/>
      </w:numPr>
      <w:tabs>
        <w:tab w:val="clear" w:pos="680"/>
      </w:tabs>
    </w:pPr>
  </w:style>
  <w:style w:type="paragraph" w:styleId="Index1">
    <w:name w:val="index 1"/>
    <w:basedOn w:val="Normal"/>
    <w:next w:val="Normal"/>
    <w:semiHidden/>
    <w:rsid w:val="003C7009"/>
    <w:pPr>
      <w:keepNext w:val="0"/>
      <w:tabs>
        <w:tab w:val="right" w:pos="4176"/>
      </w:tabs>
      <w:ind w:left="198" w:hanging="198"/>
    </w:pPr>
    <w:rPr>
      <w:rFonts w:ascii="Garamond" w:hAnsi="Garamond"/>
    </w:rPr>
  </w:style>
  <w:style w:type="paragraph" w:styleId="IndexHeading">
    <w:name w:val="index heading"/>
    <w:basedOn w:val="Normal"/>
    <w:next w:val="Index1"/>
    <w:semiHidden/>
    <w:rsid w:val="003C7009"/>
    <w:pPr>
      <w:spacing w:before="120" w:after="120"/>
    </w:pPr>
    <w:rPr>
      <w:rFonts w:ascii="Arial" w:hAnsi="Arial"/>
      <w:b/>
      <w:color w:val="918585"/>
      <w:sz w:val="24"/>
    </w:rPr>
  </w:style>
  <w:style w:type="paragraph" w:styleId="Header">
    <w:name w:val="header"/>
    <w:basedOn w:val="Normal"/>
    <w:link w:val="HeaderChar"/>
    <w:rsid w:val="003C70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009"/>
    <w:rPr>
      <w:rFonts w:ascii="Times New Roman" w:eastAsia="Times New Roman" w:hAnsi="Times New Roman" w:cs="Times New Roman"/>
      <w:sz w:val="16"/>
      <w:szCs w:val="20"/>
      <w:lang w:val="en-GB" w:eastAsia="en-US"/>
    </w:rPr>
  </w:style>
  <w:style w:type="paragraph" w:customStyle="1" w:styleId="Chapter">
    <w:name w:val="Chapter"/>
    <w:basedOn w:val="Normal"/>
    <w:rsid w:val="003C7009"/>
    <w:pPr>
      <w:spacing w:before="240"/>
    </w:pPr>
    <w:rPr>
      <w:rFonts w:ascii="Times New Roman" w:hAnsi="Times New Roman"/>
      <w:smallCaps/>
      <w:spacing w:val="80"/>
      <w:sz w:val="28"/>
    </w:rPr>
  </w:style>
  <w:style w:type="paragraph" w:customStyle="1" w:styleId="InChapter">
    <w:name w:val="InChapter"/>
    <w:basedOn w:val="Heading3"/>
    <w:rsid w:val="003C7009"/>
    <w:pPr>
      <w:spacing w:after="240"/>
      <w:outlineLvl w:val="9"/>
    </w:pPr>
    <w:rPr>
      <w:noProof/>
    </w:rPr>
  </w:style>
  <w:style w:type="paragraph" w:styleId="Index2">
    <w:name w:val="index 2"/>
    <w:basedOn w:val="Normal"/>
    <w:next w:val="Normal"/>
    <w:semiHidden/>
    <w:rsid w:val="003C7009"/>
    <w:pPr>
      <w:tabs>
        <w:tab w:val="right" w:pos="4176"/>
      </w:tabs>
      <w:ind w:left="568" w:hanging="284"/>
    </w:pPr>
    <w:rPr>
      <w:rFonts w:ascii="Garamond" w:hAnsi="Garamond"/>
    </w:rPr>
  </w:style>
  <w:style w:type="paragraph" w:customStyle="1" w:styleId="Byline">
    <w:name w:val="Byline"/>
    <w:rsid w:val="003C70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009"/>
    <w:pPr>
      <w:tabs>
        <w:tab w:val="clear" w:pos="3600"/>
        <w:tab w:val="clear" w:pos="3958"/>
      </w:tabs>
      <w:jc w:val="right"/>
    </w:pPr>
  </w:style>
  <w:style w:type="character" w:styleId="Emphasis">
    <w:name w:val="Emphasis"/>
    <w:basedOn w:val="DefaultParagraphFont"/>
    <w:qFormat/>
    <w:rsid w:val="003C7009"/>
    <w:rPr>
      <w:i/>
    </w:rPr>
  </w:style>
  <w:style w:type="paragraph" w:styleId="Caption">
    <w:name w:val="caption"/>
    <w:basedOn w:val="BodyText"/>
    <w:next w:val="Normal"/>
    <w:qFormat/>
    <w:rsid w:val="003C7009"/>
    <w:pPr>
      <w:framePr w:w="2268" w:hSpace="181" w:vSpace="181" w:wrap="around" w:vAnchor="text" w:hAnchor="page" w:x="1135" w:y="285" w:anchorLock="1"/>
    </w:pPr>
    <w:rPr>
      <w:i/>
    </w:rPr>
  </w:style>
  <w:style w:type="paragraph" w:customStyle="1" w:styleId="MiniTOCTitle">
    <w:name w:val="MiniTOCTitle"/>
    <w:basedOn w:val="Heading4"/>
    <w:rsid w:val="003C7009"/>
    <w:pPr>
      <w:spacing w:before="240"/>
      <w:outlineLvl w:val="9"/>
    </w:pPr>
    <w:rPr>
      <w:noProof/>
      <w:sz w:val="24"/>
    </w:rPr>
  </w:style>
  <w:style w:type="paragraph" w:customStyle="1" w:styleId="MiniTOCItem">
    <w:name w:val="MiniTOCItem"/>
    <w:basedOn w:val="ListBullet"/>
    <w:rsid w:val="003C7009"/>
    <w:pPr>
      <w:numPr>
        <w:numId w:val="0"/>
      </w:numPr>
      <w:tabs>
        <w:tab w:val="right" w:leader="dot" w:pos="6521"/>
      </w:tabs>
      <w:spacing w:before="0" w:after="0"/>
    </w:pPr>
  </w:style>
  <w:style w:type="paragraph" w:customStyle="1" w:styleId="TOFTitle">
    <w:name w:val="TOFTitle"/>
    <w:basedOn w:val="TOCTitle"/>
    <w:rsid w:val="003C7009"/>
  </w:style>
  <w:style w:type="paragraph" w:styleId="TableofFigures">
    <w:name w:val="table of figures"/>
    <w:basedOn w:val="Normal"/>
    <w:next w:val="Normal"/>
    <w:semiHidden/>
    <w:rsid w:val="003C7009"/>
    <w:pPr>
      <w:tabs>
        <w:tab w:val="right" w:leader="dot" w:pos="9072"/>
      </w:tabs>
      <w:ind w:left="970" w:hanging="403"/>
    </w:pPr>
    <w:rPr>
      <w:rFonts w:ascii="Times New Roman" w:hAnsi="Times New Roman"/>
      <w:b/>
    </w:rPr>
  </w:style>
  <w:style w:type="paragraph" w:styleId="ListNumber">
    <w:name w:val="List Number"/>
    <w:basedOn w:val="List"/>
    <w:rsid w:val="003C7009"/>
    <w:pPr>
      <w:numPr>
        <w:numId w:val="14"/>
      </w:numPr>
      <w:tabs>
        <w:tab w:val="clear" w:pos="340"/>
      </w:tabs>
    </w:pPr>
  </w:style>
  <w:style w:type="character" w:customStyle="1" w:styleId="WingdingSymbols">
    <w:name w:val="Wingding Symbols"/>
    <w:rsid w:val="003C7009"/>
    <w:rPr>
      <w:rFonts w:ascii="Wingdings" w:hAnsi="Wingdings"/>
    </w:rPr>
  </w:style>
  <w:style w:type="paragraph" w:customStyle="1" w:styleId="TableHeading">
    <w:name w:val="Table Heading"/>
    <w:basedOn w:val="HeadingBase"/>
    <w:rsid w:val="003C7009"/>
    <w:pPr>
      <w:keepLines/>
      <w:pBdr>
        <w:bottom w:val="single" w:sz="6" w:space="1" w:color="918585"/>
      </w:pBdr>
      <w:spacing w:before="240"/>
    </w:pPr>
  </w:style>
  <w:style w:type="character" w:customStyle="1" w:styleId="HotSpot">
    <w:name w:val="HotSpot"/>
    <w:rsid w:val="003C7009"/>
    <w:rPr>
      <w:color w:val="0033CC"/>
      <w:u w:val="none"/>
    </w:rPr>
  </w:style>
  <w:style w:type="paragraph" w:customStyle="1" w:styleId="BodyTextRight">
    <w:name w:val="Body Text Right"/>
    <w:basedOn w:val="BodyText"/>
    <w:rsid w:val="003C7009"/>
    <w:pPr>
      <w:spacing w:before="0" w:after="0"/>
      <w:jc w:val="right"/>
    </w:pPr>
  </w:style>
  <w:style w:type="paragraph" w:styleId="Index3">
    <w:name w:val="index 3"/>
    <w:basedOn w:val="ListNumber2"/>
    <w:next w:val="Normal"/>
    <w:semiHidden/>
    <w:rsid w:val="003C7009"/>
    <w:pPr>
      <w:numPr>
        <w:numId w:val="0"/>
      </w:numPr>
      <w:tabs>
        <w:tab w:val="right" w:leader="dot" w:pos="4176"/>
      </w:tabs>
    </w:pPr>
  </w:style>
  <w:style w:type="paragraph" w:styleId="ListNumber2">
    <w:name w:val="List Number 2"/>
    <w:basedOn w:val="List2"/>
    <w:rsid w:val="003C7009"/>
    <w:pPr>
      <w:numPr>
        <w:numId w:val="9"/>
      </w:numPr>
      <w:tabs>
        <w:tab w:val="clear" w:pos="1060"/>
      </w:tabs>
    </w:pPr>
  </w:style>
  <w:style w:type="paragraph" w:customStyle="1" w:styleId="MarginNote">
    <w:name w:val="Margin Note"/>
    <w:basedOn w:val="BodyText"/>
    <w:rsid w:val="003C70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0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0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7009"/>
    <w:rPr>
      <w:sz w:val="32"/>
    </w:rPr>
  </w:style>
  <w:style w:type="paragraph" w:customStyle="1" w:styleId="HeadingProcedure">
    <w:name w:val="Heading Procedure"/>
    <w:basedOn w:val="HeadingBase"/>
    <w:next w:val="Normal"/>
    <w:rsid w:val="003C7009"/>
    <w:pPr>
      <w:tabs>
        <w:tab w:val="left" w:pos="0"/>
      </w:tabs>
      <w:spacing w:before="120" w:after="60"/>
    </w:pPr>
    <w:rPr>
      <w:i/>
      <w:color w:val="918585"/>
      <w:sz w:val="22"/>
    </w:rPr>
  </w:style>
  <w:style w:type="paragraph" w:customStyle="1" w:styleId="TableBodyText">
    <w:name w:val="Table Body Text"/>
    <w:basedOn w:val="BodyText"/>
    <w:rsid w:val="003C7009"/>
    <w:pPr>
      <w:spacing w:before="60" w:after="60"/>
    </w:pPr>
  </w:style>
  <w:style w:type="paragraph" w:styleId="ListContinue">
    <w:name w:val="List Continue"/>
    <w:basedOn w:val="List"/>
    <w:rsid w:val="003C7009"/>
    <w:pPr>
      <w:ind w:firstLine="0"/>
    </w:pPr>
  </w:style>
  <w:style w:type="paragraph" w:customStyle="1" w:styleId="ListNote">
    <w:name w:val="List Note"/>
    <w:basedOn w:val="List"/>
    <w:rsid w:val="003C7009"/>
    <w:pPr>
      <w:pBdr>
        <w:top w:val="single" w:sz="6" w:space="2" w:color="918585"/>
        <w:bottom w:val="single" w:sz="6" w:space="2" w:color="918585"/>
      </w:pBdr>
      <w:tabs>
        <w:tab w:val="left" w:pos="1021"/>
      </w:tabs>
      <w:ind w:firstLine="0"/>
    </w:pPr>
  </w:style>
  <w:style w:type="paragraph" w:customStyle="1" w:styleId="Warning">
    <w:name w:val="Warning"/>
    <w:basedOn w:val="BodyText"/>
    <w:rsid w:val="003C7009"/>
    <w:pPr>
      <w:shd w:val="clear" w:color="auto" w:fill="D9D9D9"/>
      <w:tabs>
        <w:tab w:val="left" w:pos="992"/>
      </w:tabs>
      <w:ind w:left="119" w:right="119"/>
    </w:pPr>
    <w:rPr>
      <w:sz w:val="20"/>
    </w:rPr>
  </w:style>
  <w:style w:type="paragraph" w:customStyle="1" w:styleId="MarginIcons">
    <w:name w:val="Margin Icons"/>
    <w:basedOn w:val="BodyText"/>
    <w:rsid w:val="003C70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009"/>
    <w:rPr>
      <w:rFonts w:ascii="Courier New" w:hAnsi="Courier New"/>
    </w:rPr>
  </w:style>
  <w:style w:type="paragraph" w:customStyle="1" w:styleId="NoteBullet">
    <w:name w:val="Note Bullet"/>
    <w:basedOn w:val="Note"/>
    <w:rsid w:val="003C7009"/>
    <w:pPr>
      <w:tabs>
        <w:tab w:val="clear" w:pos="680"/>
      </w:tabs>
      <w:spacing w:before="60" w:after="60"/>
    </w:pPr>
  </w:style>
  <w:style w:type="paragraph" w:customStyle="1" w:styleId="SubHeading2">
    <w:name w:val="SubHeading2"/>
    <w:basedOn w:val="HeadingBase"/>
    <w:rsid w:val="003C7009"/>
    <w:pPr>
      <w:spacing w:before="240" w:after="60"/>
    </w:pPr>
    <w:rPr>
      <w:sz w:val="20"/>
    </w:rPr>
  </w:style>
  <w:style w:type="paragraph" w:customStyle="1" w:styleId="SubHeading1">
    <w:name w:val="SubHeading1"/>
    <w:basedOn w:val="HeadingBase"/>
    <w:rsid w:val="003C7009"/>
    <w:pPr>
      <w:spacing w:before="240" w:after="60"/>
    </w:pPr>
    <w:rPr>
      <w:color w:val="918585"/>
      <w:sz w:val="22"/>
    </w:rPr>
  </w:style>
  <w:style w:type="paragraph" w:customStyle="1" w:styleId="SideHeading">
    <w:name w:val="Side Heading"/>
    <w:basedOn w:val="HeadingBase"/>
    <w:rsid w:val="003C70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009"/>
    <w:pPr>
      <w:numPr>
        <w:numId w:val="10"/>
      </w:numPr>
    </w:pPr>
  </w:style>
  <w:style w:type="paragraph" w:styleId="PlainText">
    <w:name w:val="Plain Text"/>
    <w:basedOn w:val="Normal"/>
    <w:link w:val="PlainTextChar"/>
    <w:rsid w:val="003C7009"/>
    <w:rPr>
      <w:sz w:val="20"/>
    </w:rPr>
  </w:style>
  <w:style w:type="character" w:customStyle="1" w:styleId="PlainTextChar">
    <w:name w:val="Plain Text Char"/>
    <w:basedOn w:val="DefaultParagraphFont"/>
    <w:link w:val="PlainText"/>
    <w:rsid w:val="003C7009"/>
    <w:rPr>
      <w:rFonts w:ascii="Courier New" w:eastAsia="Times New Roman" w:hAnsi="Courier New" w:cs="Times New Roman"/>
      <w:sz w:val="20"/>
      <w:szCs w:val="20"/>
      <w:lang w:eastAsia="en-US"/>
    </w:rPr>
  </w:style>
  <w:style w:type="character" w:customStyle="1" w:styleId="MenuOption">
    <w:name w:val="Menu Option"/>
    <w:basedOn w:val="DefaultParagraphFont"/>
    <w:rsid w:val="003C7009"/>
    <w:rPr>
      <w:b/>
      <w:smallCaps/>
    </w:rPr>
  </w:style>
  <w:style w:type="paragraph" w:customStyle="1" w:styleId="TableListNumber">
    <w:name w:val="Table List Number"/>
    <w:basedOn w:val="ListNumber"/>
    <w:rsid w:val="003C7009"/>
    <w:pPr>
      <w:numPr>
        <w:numId w:val="0"/>
      </w:numPr>
    </w:pPr>
  </w:style>
  <w:style w:type="paragraph" w:styleId="TOC4">
    <w:name w:val="toc 4"/>
    <w:basedOn w:val="TOCBase"/>
    <w:next w:val="Normal"/>
    <w:semiHidden/>
    <w:rsid w:val="003C7009"/>
    <w:pPr>
      <w:tabs>
        <w:tab w:val="right" w:leader="dot" w:pos="9071"/>
      </w:tabs>
      <w:ind w:left="1701"/>
    </w:pPr>
  </w:style>
  <w:style w:type="paragraph" w:customStyle="1" w:styleId="ListAlpha">
    <w:name w:val="List Alpha"/>
    <w:basedOn w:val="List"/>
    <w:rsid w:val="003C7009"/>
    <w:pPr>
      <w:numPr>
        <w:numId w:val="8"/>
      </w:numPr>
    </w:pPr>
  </w:style>
  <w:style w:type="paragraph" w:customStyle="1" w:styleId="ListAlpha2">
    <w:name w:val="List Alpha 2"/>
    <w:basedOn w:val="List2"/>
    <w:rsid w:val="003C7009"/>
    <w:pPr>
      <w:numPr>
        <w:numId w:val="7"/>
      </w:numPr>
    </w:pPr>
  </w:style>
  <w:style w:type="paragraph" w:styleId="List2">
    <w:name w:val="List 2"/>
    <w:basedOn w:val="BodyText"/>
    <w:rsid w:val="003C7009"/>
    <w:pPr>
      <w:tabs>
        <w:tab w:val="left" w:pos="680"/>
      </w:tabs>
      <w:spacing w:before="60" w:after="60"/>
      <w:ind w:left="680" w:hanging="340"/>
    </w:pPr>
  </w:style>
  <w:style w:type="paragraph" w:styleId="List3">
    <w:name w:val="List 3"/>
    <w:basedOn w:val="BodyText"/>
    <w:rsid w:val="003C7009"/>
    <w:pPr>
      <w:tabs>
        <w:tab w:val="left" w:pos="1021"/>
      </w:tabs>
      <w:spacing w:before="60" w:after="60"/>
      <w:ind w:left="1020" w:hanging="340"/>
    </w:pPr>
  </w:style>
  <w:style w:type="paragraph" w:styleId="List4">
    <w:name w:val="List 4"/>
    <w:basedOn w:val="BodyText"/>
    <w:rsid w:val="003C7009"/>
    <w:pPr>
      <w:tabs>
        <w:tab w:val="left" w:pos="1361"/>
      </w:tabs>
      <w:spacing w:before="60" w:after="60"/>
      <w:ind w:left="1361" w:hanging="340"/>
    </w:pPr>
  </w:style>
  <w:style w:type="paragraph" w:styleId="List5">
    <w:name w:val="List 5"/>
    <w:basedOn w:val="BodyText"/>
    <w:rsid w:val="003C7009"/>
    <w:pPr>
      <w:tabs>
        <w:tab w:val="left" w:pos="1701"/>
      </w:tabs>
      <w:spacing w:before="60" w:after="60"/>
      <w:ind w:left="1701" w:hanging="340"/>
    </w:pPr>
  </w:style>
  <w:style w:type="paragraph" w:styleId="ListBullet3">
    <w:name w:val="List Bullet 3"/>
    <w:basedOn w:val="List3"/>
    <w:rsid w:val="003C7009"/>
    <w:pPr>
      <w:numPr>
        <w:numId w:val="13"/>
      </w:numPr>
      <w:tabs>
        <w:tab w:val="clear" w:pos="1021"/>
      </w:tabs>
      <w:ind w:left="1037" w:hanging="357"/>
    </w:pPr>
  </w:style>
  <w:style w:type="paragraph" w:styleId="ListBullet4">
    <w:name w:val="List Bullet 4"/>
    <w:basedOn w:val="List4"/>
    <w:rsid w:val="003C7009"/>
    <w:pPr>
      <w:numPr>
        <w:numId w:val="2"/>
      </w:numPr>
      <w:tabs>
        <w:tab w:val="clear" w:pos="1361"/>
      </w:tabs>
    </w:pPr>
  </w:style>
  <w:style w:type="paragraph" w:styleId="ListBullet5">
    <w:name w:val="List Bullet 5"/>
    <w:basedOn w:val="List5"/>
    <w:rsid w:val="003C7009"/>
    <w:pPr>
      <w:numPr>
        <w:numId w:val="3"/>
      </w:numPr>
    </w:pPr>
  </w:style>
  <w:style w:type="paragraph" w:styleId="ListContinue2">
    <w:name w:val="List Continue 2"/>
    <w:basedOn w:val="List2"/>
    <w:rsid w:val="003C7009"/>
    <w:pPr>
      <w:ind w:firstLine="0"/>
    </w:pPr>
  </w:style>
  <w:style w:type="paragraph" w:styleId="ListContinue3">
    <w:name w:val="List Continue 3"/>
    <w:basedOn w:val="List3"/>
    <w:rsid w:val="003C7009"/>
    <w:pPr>
      <w:ind w:left="1021" w:firstLine="0"/>
    </w:pPr>
  </w:style>
  <w:style w:type="paragraph" w:styleId="ListContinue4">
    <w:name w:val="List Continue 4"/>
    <w:basedOn w:val="List4"/>
    <w:rsid w:val="003C7009"/>
    <w:pPr>
      <w:ind w:firstLine="0"/>
    </w:pPr>
  </w:style>
  <w:style w:type="paragraph" w:styleId="ListContinue5">
    <w:name w:val="List Continue 5"/>
    <w:basedOn w:val="List5"/>
    <w:rsid w:val="003C7009"/>
    <w:pPr>
      <w:ind w:firstLine="0"/>
    </w:pPr>
  </w:style>
  <w:style w:type="paragraph" w:styleId="ListNumber3">
    <w:name w:val="List Number 3"/>
    <w:basedOn w:val="List3"/>
    <w:rsid w:val="003C7009"/>
    <w:pPr>
      <w:numPr>
        <w:numId w:val="4"/>
      </w:numPr>
    </w:pPr>
  </w:style>
  <w:style w:type="paragraph" w:styleId="ListNumber4">
    <w:name w:val="List Number 4"/>
    <w:basedOn w:val="List4"/>
    <w:rsid w:val="003C7009"/>
    <w:pPr>
      <w:numPr>
        <w:numId w:val="5"/>
      </w:numPr>
    </w:pPr>
  </w:style>
  <w:style w:type="paragraph" w:styleId="ListNumber5">
    <w:name w:val="List Number 5"/>
    <w:basedOn w:val="List5"/>
    <w:rsid w:val="003C7009"/>
    <w:pPr>
      <w:numPr>
        <w:numId w:val="6"/>
      </w:numPr>
    </w:pPr>
  </w:style>
  <w:style w:type="paragraph" w:styleId="BlockText">
    <w:name w:val="Block Text"/>
    <w:basedOn w:val="Normal"/>
    <w:rsid w:val="003C7009"/>
    <w:pPr>
      <w:spacing w:after="120"/>
      <w:ind w:left="1440" w:right="1440"/>
    </w:pPr>
  </w:style>
  <w:style w:type="character" w:customStyle="1" w:styleId="Subscript">
    <w:name w:val="Subscript"/>
    <w:basedOn w:val="DefaultParagraphFont"/>
    <w:rsid w:val="003C7009"/>
    <w:rPr>
      <w:sz w:val="16"/>
      <w:vertAlign w:val="subscript"/>
    </w:rPr>
  </w:style>
  <w:style w:type="character" w:customStyle="1" w:styleId="Superscript">
    <w:name w:val="Superscript"/>
    <w:basedOn w:val="DefaultParagraphFont"/>
    <w:rsid w:val="003C7009"/>
    <w:rPr>
      <w:sz w:val="16"/>
      <w:vertAlign w:val="superscript"/>
    </w:rPr>
  </w:style>
  <w:style w:type="character" w:customStyle="1" w:styleId="Symbols">
    <w:name w:val="Symbols"/>
    <w:basedOn w:val="DefaultParagraphFont"/>
    <w:rsid w:val="003C7009"/>
    <w:rPr>
      <w:rFonts w:ascii="Symbol" w:hAnsi="Symbol"/>
    </w:rPr>
  </w:style>
  <w:style w:type="character" w:customStyle="1" w:styleId="MenuOptions">
    <w:name w:val="Menu Options"/>
    <w:basedOn w:val="DefaultParagraphFont"/>
    <w:rsid w:val="003C7009"/>
    <w:rPr>
      <w:rFonts w:ascii="Arial Narrow" w:hAnsi="Arial Narrow"/>
      <w:smallCaps/>
    </w:rPr>
  </w:style>
  <w:style w:type="character" w:customStyle="1" w:styleId="Buttons">
    <w:name w:val="Buttons"/>
    <w:basedOn w:val="DefaultParagraphFont"/>
    <w:rsid w:val="003C7009"/>
    <w:rPr>
      <w:b/>
    </w:rPr>
  </w:style>
  <w:style w:type="character" w:customStyle="1" w:styleId="Underlined">
    <w:name w:val="Underlined"/>
    <w:basedOn w:val="DefaultParagraphFont"/>
    <w:rsid w:val="003C7009"/>
    <w:rPr>
      <w:u w:val="single"/>
    </w:rPr>
  </w:style>
  <w:style w:type="paragraph" w:customStyle="1" w:styleId="TableBodyTextRight">
    <w:name w:val="Table Body Text Right"/>
    <w:basedOn w:val="TableBodyText"/>
    <w:rsid w:val="003C7009"/>
    <w:pPr>
      <w:widowControl w:val="0"/>
      <w:autoSpaceDE w:val="0"/>
      <w:autoSpaceDN w:val="0"/>
      <w:adjustRightInd w:val="0"/>
      <w:jc w:val="right"/>
    </w:pPr>
    <w:rPr>
      <w:rFonts w:cs="Arial"/>
      <w:szCs w:val="18"/>
    </w:rPr>
  </w:style>
  <w:style w:type="paragraph" w:customStyle="1" w:styleId="CopyrightText">
    <w:name w:val="Copyright Text"/>
    <w:basedOn w:val="BodyText"/>
    <w:rsid w:val="003C7009"/>
    <w:rPr>
      <w:sz w:val="18"/>
    </w:rPr>
  </w:style>
  <w:style w:type="paragraph" w:customStyle="1" w:styleId="BodySmallRight">
    <w:name w:val="Body Small Right"/>
    <w:basedOn w:val="BodyTextRight"/>
    <w:rsid w:val="003C7009"/>
    <w:rPr>
      <w:sz w:val="18"/>
      <w:szCs w:val="18"/>
    </w:rPr>
  </w:style>
  <w:style w:type="paragraph" w:customStyle="1" w:styleId="MarginEdition">
    <w:name w:val="Margin Edition"/>
    <w:basedOn w:val="MarginNote"/>
    <w:rsid w:val="003C7009"/>
    <w:pPr>
      <w:spacing w:before="0" w:after="0"/>
    </w:pPr>
    <w:rPr>
      <w:rFonts w:ascii="Times New Roman" w:hAnsi="Times New Roman"/>
      <w:color w:val="999999"/>
    </w:rPr>
  </w:style>
  <w:style w:type="paragraph" w:customStyle="1" w:styleId="Spacer">
    <w:name w:val="Spacer"/>
    <w:basedOn w:val="Normal"/>
    <w:rsid w:val="003C7009"/>
    <w:rPr>
      <w:sz w:val="2"/>
      <w:szCs w:val="2"/>
    </w:rPr>
  </w:style>
  <w:style w:type="character" w:customStyle="1" w:styleId="Small">
    <w:name w:val="Small"/>
    <w:basedOn w:val="DefaultParagraphFont"/>
    <w:rsid w:val="003C7009"/>
    <w:rPr>
      <w:sz w:val="16"/>
    </w:rPr>
  </w:style>
  <w:style w:type="paragraph" w:customStyle="1" w:styleId="WideTable">
    <w:name w:val="Wide Table"/>
    <w:basedOn w:val="Normal"/>
    <w:rsid w:val="003C7009"/>
    <w:pPr>
      <w:ind w:left="-1418"/>
    </w:pPr>
    <w:rPr>
      <w:sz w:val="2"/>
      <w:szCs w:val="2"/>
    </w:rPr>
  </w:style>
  <w:style w:type="character" w:styleId="PageNumber">
    <w:name w:val="page number"/>
    <w:basedOn w:val="DefaultParagraphFont"/>
    <w:rsid w:val="003C7009"/>
  </w:style>
  <w:style w:type="paragraph" w:styleId="Quote">
    <w:name w:val="Quote"/>
    <w:basedOn w:val="Heading1"/>
    <w:link w:val="QuoteChar"/>
    <w:qFormat/>
    <w:rsid w:val="003C7009"/>
    <w:rPr>
      <w:b w:val="0"/>
      <w:sz w:val="72"/>
      <w:szCs w:val="72"/>
      <w:lang w:val="en-NZ"/>
    </w:rPr>
  </w:style>
  <w:style w:type="character" w:customStyle="1" w:styleId="QuoteChar">
    <w:name w:val="Quote Char"/>
    <w:basedOn w:val="DefaultParagraphFont"/>
    <w:link w:val="Quote"/>
    <w:rsid w:val="003C70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009"/>
    <w:pPr>
      <w:pageBreakBefore/>
    </w:pPr>
  </w:style>
  <w:style w:type="paragraph" w:customStyle="1" w:styleId="Border">
    <w:name w:val="Border"/>
    <w:basedOn w:val="Normal"/>
    <w:qFormat/>
    <w:rsid w:val="003C70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009"/>
    <w:rPr>
      <w:b/>
      <w:bCs/>
      <w:i/>
      <w:iCs/>
      <w:color w:val="auto"/>
    </w:rPr>
  </w:style>
  <w:style w:type="paragraph" w:styleId="IntenseQuote">
    <w:name w:val="Intense Quote"/>
    <w:basedOn w:val="Normal"/>
    <w:next w:val="Normal"/>
    <w:link w:val="IntenseQuoteChar"/>
    <w:uiPriority w:val="30"/>
    <w:qFormat/>
    <w:rsid w:val="003C70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0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7009"/>
    <w:rPr>
      <w:smallCaps/>
      <w:color w:val="auto"/>
      <w:u w:val="single"/>
    </w:rPr>
  </w:style>
  <w:style w:type="character" w:styleId="IntenseReference">
    <w:name w:val="Intense Reference"/>
    <w:basedOn w:val="DefaultParagraphFont"/>
    <w:uiPriority w:val="32"/>
    <w:qFormat/>
    <w:rsid w:val="003C7009"/>
    <w:rPr>
      <w:b/>
      <w:bCs/>
      <w:smallCaps/>
      <w:color w:val="auto"/>
      <w:spacing w:val="5"/>
      <w:u w:val="single"/>
    </w:rPr>
  </w:style>
  <w:style w:type="paragraph" w:customStyle="1" w:styleId="2ColumnHeading">
    <w:name w:val="2Column Heading"/>
    <w:basedOn w:val="BodyText"/>
    <w:qFormat/>
    <w:rsid w:val="003C7009"/>
    <w:pPr>
      <w:spacing w:after="60"/>
      <w:ind w:left="-2268"/>
    </w:pPr>
    <w:rPr>
      <w:b/>
    </w:rPr>
  </w:style>
  <w:style w:type="paragraph" w:customStyle="1" w:styleId="Heading1TOC">
    <w:name w:val="Heading1 TOC"/>
    <w:basedOn w:val="Normal"/>
    <w:qFormat/>
    <w:rsid w:val="003C7009"/>
    <w:pPr>
      <w:spacing w:before="240" w:after="120"/>
    </w:pPr>
    <w:rPr>
      <w:rFonts w:ascii="Times New Roman" w:hAnsi="Times New Roman"/>
      <w:b/>
      <w:sz w:val="32"/>
    </w:rPr>
  </w:style>
  <w:style w:type="paragraph" w:customStyle="1" w:styleId="Heading2TOC">
    <w:name w:val="Heading2 TOC"/>
    <w:basedOn w:val="Normal"/>
    <w:qFormat/>
    <w:rsid w:val="003C7009"/>
    <w:pPr>
      <w:spacing w:before="240" w:after="60"/>
    </w:pPr>
    <w:rPr>
      <w:rFonts w:ascii="Times New Roman" w:hAnsi="Times New Roman"/>
      <w:b/>
      <w:sz w:val="28"/>
    </w:rPr>
  </w:style>
  <w:style w:type="character" w:customStyle="1" w:styleId="Underline">
    <w:name w:val="Underline"/>
    <w:basedOn w:val="DefaultParagraphFont"/>
    <w:qFormat/>
    <w:rsid w:val="003C7009"/>
    <w:rPr>
      <w:u w:val="single"/>
    </w:rPr>
  </w:style>
  <w:style w:type="character" w:customStyle="1" w:styleId="BoldandItalics">
    <w:name w:val="Bold and Italics"/>
    <w:qFormat/>
    <w:rsid w:val="003C7009"/>
    <w:rPr>
      <w:b/>
      <w:i/>
      <w:u w:val="none"/>
    </w:rPr>
  </w:style>
  <w:style w:type="paragraph" w:styleId="BalloonText">
    <w:name w:val="Balloon Text"/>
    <w:basedOn w:val="Normal"/>
    <w:link w:val="BalloonTextChar"/>
    <w:rsid w:val="003C7009"/>
    <w:rPr>
      <w:rFonts w:ascii="Tahoma" w:hAnsi="Tahoma" w:cs="Tahoma"/>
      <w:sz w:val="16"/>
      <w:szCs w:val="16"/>
    </w:rPr>
  </w:style>
  <w:style w:type="character" w:customStyle="1" w:styleId="BalloonTextChar">
    <w:name w:val="Balloon Text Char"/>
    <w:basedOn w:val="DefaultParagraphFont"/>
    <w:link w:val="BalloonText"/>
    <w:rsid w:val="003C70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70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70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7009"/>
    <w:rPr>
      <w:b/>
      <w:color w:val="660033"/>
      <w:spacing w:val="0"/>
    </w:rPr>
  </w:style>
  <w:style w:type="paragraph" w:customStyle="1" w:styleId="Nameditemlist">
    <w:name w:val="Named item list"/>
    <w:basedOn w:val="BodyText"/>
    <w:qFormat/>
    <w:rsid w:val="003C7009"/>
    <w:pPr>
      <w:tabs>
        <w:tab w:val="left" w:pos="2835"/>
      </w:tabs>
      <w:ind w:left="2835" w:hanging="2835"/>
    </w:pPr>
  </w:style>
  <w:style w:type="paragraph" w:customStyle="1" w:styleId="BodyTextnopadding">
    <w:name w:val="Body Text no padding"/>
    <w:basedOn w:val="BodyText"/>
    <w:qFormat/>
    <w:rsid w:val="003C7009"/>
    <w:pPr>
      <w:spacing w:before="0" w:after="0"/>
    </w:pPr>
  </w:style>
  <w:style w:type="paragraph" w:customStyle="1" w:styleId="BodyTextBold">
    <w:name w:val="Body Text Bold"/>
    <w:basedOn w:val="BodyText"/>
    <w:qFormat/>
    <w:rsid w:val="003C7009"/>
    <w:rPr>
      <w:b/>
    </w:rPr>
  </w:style>
  <w:style w:type="character" w:styleId="Hyperlink">
    <w:name w:val="Hyperlink"/>
    <w:basedOn w:val="DefaultParagraphFont"/>
    <w:uiPriority w:val="99"/>
    <w:unhideWhenUsed/>
    <w:rsid w:val="002B1C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3106</Characters>
  <Application>Microsoft Office Word</Application>
  <DocSecurity>0</DocSecurity>
  <Lines>172</Lines>
  <Paragraphs>116</Paragraphs>
  <ScaleCrop>false</ScaleCrop>
  <Company>Author-it Software Corporation Ltd.</Company>
  <LinksUpToDate>false</LinksUpToDate>
  <CharactersWithSpaces>3500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MEM19012 Produce jewellery wax model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2023-02-03T07:20:00Z</dcterms:created>
  <dcterms:modified xsi:type="dcterms:W3CDTF">2023-02-03T07:20:00Z</dcterms:modified>
</cp:coreProperties>
</file>