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6ED" w:rsidP="00F406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MEM19007 Perform gemstone setting</w:t>
      </w:r>
      <w:r>
        <w:fldChar w:fldCharType="end"/>
      </w:r>
    </w:p>
    <w:p w:rsidR="00F406ED" w:rsidP="00F406ED">
      <w:pPr>
        <w:pStyle w:val="Version"/>
        <w:sectPr w:rsidSect="007E4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6E0" w:rsidP="007E46E0">
      <w:pPr>
        <w:pStyle w:val="SuperHeading"/>
      </w:pPr>
      <w:r w:rsidRPr="007E46E0">
        <w:t>MEM19007 Perform gemstone setting</w:t>
      </w:r>
    </w:p>
    <w:p w:rsidR="00000000" w:rsidRPr="007E46E0" w:rsidP="007E46E0">
      <w:pPr>
        <w:pStyle w:val="Heading1"/>
      </w:pPr>
      <w:bookmarkStart w:id="1" w:name="O_946475"/>
      <w:bookmarkEnd w:id="1"/>
      <w:r w:rsidRPr="007E46E0">
        <w:t>Modification History</w:t>
      </w:r>
    </w:p>
    <w:p w:rsidR="00000000" w:rsidRPr="007E46E0" w:rsidP="00F406ED">
      <w:pPr>
        <w:pStyle w:val="BodyText"/>
      </w:pPr>
      <w:r w:rsidRPr="007E46E0">
        <w:t xml:space="preserve">Release 1. Supersedes and is equivalent to MEM19007B Perform gemstone setting </w:t>
      </w:r>
    </w:p>
    <w:p w:rsidR="00000000" w:rsidRPr="007E46E0" w:rsidP="007E46E0">
      <w:pPr>
        <w:pStyle w:val="Heading1"/>
      </w:pPr>
      <w:bookmarkStart w:id="2" w:name="O_946483"/>
      <w:bookmarkEnd w:id="2"/>
      <w:r w:rsidRPr="007E46E0">
        <w:t>Application</w:t>
      </w:r>
    </w:p>
    <w:p w:rsidR="00000000" w:rsidRPr="007E46E0" w:rsidP="00F406ED">
      <w:pPr>
        <w:pStyle w:val="BodyText"/>
      </w:pPr>
      <w:r w:rsidRPr="007E46E0">
        <w:t>This unit of competency defines the skills and knowledge required to perform manual setting of gemstones in a range of metals a</w:t>
      </w:r>
      <w:r w:rsidRPr="007E46E0">
        <w:t xml:space="preserve">nd design styles. </w:t>
      </w:r>
    </w:p>
    <w:p w:rsidR="00000000" w:rsidRPr="007E46E0" w:rsidP="00F406ED">
      <w:pPr>
        <w:pStyle w:val="BodyText"/>
      </w:pPr>
      <w:r w:rsidRPr="007E46E0">
        <w:t xml:space="preserve">The unit is not intended to cover the work of a specialist gemstone setter and do not select this unit for the setting of stones into wax, rubber and resin. </w:t>
      </w:r>
    </w:p>
    <w:p w:rsidR="00000000" w:rsidRPr="007E46E0" w:rsidP="00F406ED">
      <w:pPr>
        <w:pStyle w:val="BodyText"/>
      </w:pPr>
      <w:r w:rsidRPr="007E46E0">
        <w:t>Where production setting is required unit MEM07024 Operate and monitor machin</w:t>
      </w:r>
      <w:r w:rsidRPr="007E46E0">
        <w:t>e and process should also be selected.</w:t>
      </w:r>
    </w:p>
    <w:p w:rsidR="00000000" w:rsidRPr="007E46E0" w:rsidP="00F406ED">
      <w:pPr>
        <w:pStyle w:val="BodyText"/>
      </w:pPr>
      <w:r w:rsidRPr="007E46E0">
        <w:t>Where annealing and tempering is required unit MEM19005 Produce three-dimensional precision items should also be selected.</w:t>
      </w:r>
    </w:p>
    <w:p w:rsidR="00000000" w:rsidRPr="007E46E0" w:rsidP="00F406ED">
      <w:pPr>
        <w:pStyle w:val="BodyText"/>
      </w:pPr>
      <w:r w:rsidRPr="007E46E0">
        <w:t>No licensing, legislative or certification requirements apply to this unit at the time of pu</w:t>
      </w:r>
      <w:r w:rsidRPr="007E46E0">
        <w:t>blication.</w:t>
      </w:r>
    </w:p>
    <w:p w:rsidR="00000000" w:rsidRPr="007E46E0" w:rsidP="007E46E0">
      <w:pPr>
        <w:pStyle w:val="BodyText"/>
      </w:pPr>
      <w:r w:rsidRPr="007E46E0">
        <w:rPr>
          <w:rStyle w:val="SpecialBold"/>
        </w:rPr>
        <w:t>Band</w:t>
      </w:r>
      <w:r w:rsidRPr="007E46E0">
        <w:t>:</w:t>
      </w:r>
      <w:r w:rsidRPr="007E46E0">
        <w:tab/>
      </w:r>
      <w:r w:rsidRPr="007E46E0">
        <w:rPr>
          <w:rStyle w:val="SpecialBold"/>
        </w:rPr>
        <w:t>A</w:t>
      </w:r>
    </w:p>
    <w:p w:rsidR="00000000" w:rsidRPr="007E46E0" w:rsidP="007E46E0">
      <w:pPr>
        <w:pStyle w:val="BodyText"/>
      </w:pPr>
      <w:r w:rsidRPr="007E46E0">
        <w:rPr>
          <w:rStyle w:val="SpecialBold"/>
        </w:rPr>
        <w:t>Unit Weight</w:t>
      </w:r>
      <w:r w:rsidRPr="007E46E0">
        <w:t>:</w:t>
      </w:r>
      <w:r w:rsidRPr="007E46E0">
        <w:tab/>
      </w:r>
      <w:r w:rsidRPr="007E46E0">
        <w:rPr>
          <w:rStyle w:val="SpecialBold"/>
        </w:rPr>
        <w:t>6</w:t>
      </w:r>
    </w:p>
    <w:p w:rsidR="00000000" w:rsidRPr="007E46E0" w:rsidP="007E46E0">
      <w:pPr>
        <w:pStyle w:val="AllowPageBreak"/>
      </w:pPr>
    </w:p>
    <w:p w:rsidR="00000000" w:rsidRPr="007E46E0" w:rsidP="007E46E0">
      <w:pPr>
        <w:pStyle w:val="Heading1"/>
      </w:pPr>
      <w:bookmarkStart w:id="3" w:name="O_946482"/>
      <w:bookmarkEnd w:id="3"/>
      <w:r w:rsidRPr="007E46E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Undertake manual handling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Perform engineering measurements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Work safely and effectively in manufacturing and engineering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Organise and communicate information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MEM18001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Use hand tools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MEM18002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Use power tools/hand held operations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MEM18003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Use tools for precision work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MEM19003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E0" w:rsidP="007E46E0">
            <w:pPr>
              <w:pStyle w:val="BodyText"/>
            </w:pPr>
            <w:r w:rsidRPr="007E46E0">
              <w:t>Handle gem materials</w:t>
            </w:r>
          </w:p>
        </w:tc>
      </w:tr>
    </w:tbl>
    <w:p w:rsidR="00000000" w:rsidRPr="007E46E0" w:rsidP="007E46E0">
      <w:pPr>
        <w:pStyle w:val="BodyText"/>
      </w:pPr>
    </w:p>
    <w:p w:rsidR="00000000" w:rsidRPr="007E46E0" w:rsidP="007E46E0">
      <w:pPr>
        <w:pStyle w:val="AllowPageBreak"/>
      </w:pPr>
    </w:p>
    <w:p w:rsidR="00000000" w:rsidRPr="007E46E0" w:rsidP="007E46E0">
      <w:pPr>
        <w:pStyle w:val="Heading1"/>
      </w:pPr>
      <w:bookmarkStart w:id="4" w:name="O_946481"/>
      <w:bookmarkEnd w:id="4"/>
      <w:r w:rsidRPr="007E46E0">
        <w:t>Competency Field</w:t>
      </w:r>
    </w:p>
    <w:p w:rsidR="00000000" w:rsidRPr="007E46E0" w:rsidP="00F406ED">
      <w:pPr>
        <w:pStyle w:val="BodyText"/>
      </w:pPr>
      <w:r w:rsidRPr="007E46E0">
        <w:t>Jewellery and horological</w:t>
      </w:r>
    </w:p>
    <w:p w:rsidR="00000000" w:rsidRPr="007E46E0" w:rsidP="007E46E0">
      <w:pPr>
        <w:pStyle w:val="Heading1"/>
      </w:pPr>
      <w:bookmarkStart w:id="5" w:name="O_946479"/>
      <w:bookmarkEnd w:id="5"/>
      <w:r w:rsidRPr="007E46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Performance criteria describe the performance needed to demonstrate achievement of the element.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E0" w:rsidP="007E46E0">
            <w:pPr>
              <w:pStyle w:val="BodyText"/>
            </w:pPr>
            <w:r w:rsidRPr="007E46E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Follow standard operating procedures (SOPs)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Comply with work health and safety (WHS) requirements at all times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Use appropriate personal protective equipment (PPE) in accordance with SOPs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Identify job requirements from specifications, drawings, job sheets or work instructions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E0" w:rsidP="007E46E0">
            <w:pPr>
              <w:pStyle w:val="BodyText"/>
            </w:pPr>
            <w:r w:rsidRPr="007E46E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rPr>
                <w:rStyle w:val="SpecialBold"/>
              </w:rPr>
              <w:t>Prepare materials and equipment and perform gemstone setting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Identify metal and setting requirements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Assess gemstone status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Select, prepare and maintain tools to achieve desired outcome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Prepare metal for setting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Handle and secure gemstones in a correct manner</w:t>
            </w:r>
          </w:p>
        </w:tc>
      </w:tr>
      <w:tr w:rsidTr="007E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E0" w:rsidP="007E46E0">
            <w:pPr>
              <w:pStyle w:val="BodyText"/>
            </w:pPr>
            <w:r w:rsidRPr="007E46E0">
              <w:t>Ensure setting metal is finished and burnished to specification</w:t>
            </w:r>
          </w:p>
        </w:tc>
      </w:tr>
    </w:tbl>
    <w:p w:rsidR="00000000" w:rsidRPr="007E46E0" w:rsidP="007E46E0">
      <w:pPr>
        <w:pStyle w:val="BodyText"/>
      </w:pPr>
    </w:p>
    <w:p w:rsidR="00000000" w:rsidRPr="007E46E0" w:rsidP="007E46E0">
      <w:pPr>
        <w:pStyle w:val="AllowPageBreak"/>
      </w:pPr>
    </w:p>
    <w:p w:rsidR="00000000" w:rsidRPr="007E46E0" w:rsidP="007E46E0">
      <w:pPr>
        <w:pStyle w:val="Heading1"/>
      </w:pPr>
      <w:bookmarkStart w:id="6" w:name="O_946478"/>
      <w:bookmarkEnd w:id="6"/>
      <w:r w:rsidRPr="007E46E0">
        <w:t>Foundation Skills</w:t>
      </w:r>
    </w:p>
    <w:p w:rsidR="00000000" w:rsidRPr="007E46E0" w:rsidP="00F406ED">
      <w:pPr>
        <w:pStyle w:val="BodyText"/>
      </w:pPr>
      <w:r w:rsidRPr="007E46E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E46E0" w:rsidP="00F406ED">
      <w:pPr>
        <w:pStyle w:val="BodyText"/>
      </w:pPr>
      <w:r w:rsidRPr="007E46E0">
        <w:t>Foundation skills essential to performance are explicit in the per</w:t>
      </w:r>
      <w:r w:rsidRPr="007E46E0">
        <w:t>formance criteria of this unit of competency.</w:t>
      </w:r>
    </w:p>
    <w:p w:rsidR="00000000" w:rsidRPr="007E46E0" w:rsidP="007E46E0">
      <w:pPr>
        <w:pStyle w:val="Heading1"/>
      </w:pPr>
      <w:bookmarkStart w:id="7" w:name="O_946477"/>
      <w:bookmarkEnd w:id="7"/>
      <w:r w:rsidRPr="007E46E0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74"/>
      </w:tblGrid>
      <w:tr w:rsidTr="007E46E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t>This field allows for different work environments and conditions that may affect performance. Essential operating conditions that may be present (depending on the work situa</w:t>
            </w:r>
            <w:r w:rsidRPr="007E46E0">
              <w:t>tion, needs of the candidate, accessibility of the item, and local industry and regional contexts) are included.</w:t>
            </w:r>
          </w:p>
        </w:tc>
      </w:tr>
      <w:tr w:rsidTr="007E46E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E0" w:rsidP="007E46E0">
            <w:pPr>
              <w:pStyle w:val="ListBullet"/>
            </w:pPr>
            <w:r w:rsidRPr="007E46E0">
              <w:t>holding and securing devices</w:t>
            </w:r>
          </w:p>
          <w:p w:rsidR="00000000" w:rsidRPr="007E46E0" w:rsidP="007E46E0">
            <w:pPr>
              <w:pStyle w:val="ListBullet"/>
            </w:pPr>
            <w:r w:rsidRPr="007E46E0">
              <w:t>pliers</w:t>
            </w:r>
          </w:p>
          <w:p w:rsidR="00000000" w:rsidRPr="007E46E0" w:rsidP="007E46E0">
            <w:pPr>
              <w:pStyle w:val="ListBullet"/>
            </w:pPr>
            <w:r w:rsidRPr="007E46E0">
              <w:t>burrs</w:t>
            </w:r>
          </w:p>
          <w:p w:rsidR="00000000" w:rsidRPr="007E46E0" w:rsidP="007E46E0">
            <w:pPr>
              <w:pStyle w:val="ListBullet"/>
            </w:pPr>
            <w:r w:rsidRPr="007E46E0">
              <w:t>scaupers</w:t>
            </w:r>
          </w:p>
          <w:p w:rsidR="00000000" w:rsidRPr="007E46E0" w:rsidP="007E46E0">
            <w:pPr>
              <w:pStyle w:val="ListBullet"/>
            </w:pPr>
            <w:r w:rsidRPr="007E46E0">
              <w:t>burnishers</w:t>
            </w:r>
          </w:p>
          <w:p w:rsidR="00000000" w:rsidRPr="007E46E0" w:rsidP="007E46E0">
            <w:pPr>
              <w:pStyle w:val="ListBullet"/>
            </w:pPr>
            <w:r w:rsidRPr="007E46E0">
              <w:t>emery</w:t>
            </w:r>
          </w:p>
          <w:p w:rsidR="00000000" w:rsidRPr="007E46E0" w:rsidP="007E46E0">
            <w:pPr>
              <w:pStyle w:val="ListBullet"/>
            </w:pPr>
            <w:r w:rsidRPr="007E46E0">
              <w:t>beaders</w:t>
            </w:r>
          </w:p>
          <w:p w:rsidR="00000000" w:rsidRPr="007E46E0" w:rsidP="007E46E0">
            <w:pPr>
              <w:pStyle w:val="ListBullet"/>
            </w:pPr>
            <w:r w:rsidRPr="007E46E0">
              <w:t>electronic tools</w:t>
            </w:r>
          </w:p>
          <w:p w:rsidR="00000000" w:rsidRPr="007E46E0" w:rsidP="007E46E0">
            <w:pPr>
              <w:pStyle w:val="ListBullet"/>
            </w:pPr>
            <w:r w:rsidRPr="007E46E0">
              <w:t xml:space="preserve">mechanical tools </w:t>
            </w:r>
          </w:p>
          <w:p w:rsidR="00000000" w:rsidP="007E46E0">
            <w:pPr>
              <w:pStyle w:val="BodyText"/>
              <w:rPr>
                <w:lang w:val="en-NZ"/>
              </w:rPr>
            </w:pPr>
          </w:p>
        </w:tc>
      </w:tr>
      <w:tr w:rsidTr="007E46E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E0">
            <w:pPr>
              <w:pStyle w:val="BodyText"/>
              <w:rPr>
                <w:lang w:val="en-NZ"/>
              </w:rPr>
            </w:pPr>
            <w:r w:rsidRPr="007E46E0">
              <w:rPr>
                <w:rStyle w:val="SpecialBold"/>
              </w:rPr>
              <w:t>Setting styles include one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E0" w:rsidP="007E46E0">
            <w:pPr>
              <w:pStyle w:val="ListBullet"/>
            </w:pPr>
            <w:r w:rsidRPr="007E46E0">
              <w:t>claw</w:t>
            </w:r>
          </w:p>
          <w:p w:rsidR="00000000" w:rsidRPr="007E46E0" w:rsidP="007E46E0">
            <w:pPr>
              <w:pStyle w:val="ListBullet"/>
            </w:pPr>
            <w:r w:rsidRPr="007E46E0">
              <w:t xml:space="preserve">grain </w:t>
            </w:r>
          </w:p>
          <w:p w:rsidR="00000000" w:rsidRPr="007E46E0" w:rsidP="007E46E0">
            <w:pPr>
              <w:pStyle w:val="ListBullet"/>
            </w:pPr>
            <w:r w:rsidRPr="007E46E0">
              <w:t xml:space="preserve">rub-over </w:t>
            </w:r>
          </w:p>
          <w:p w:rsidR="00000000" w:rsidRPr="007E46E0" w:rsidP="007E46E0">
            <w:pPr>
              <w:pStyle w:val="BodyText"/>
            </w:pPr>
          </w:p>
        </w:tc>
      </w:tr>
    </w:tbl>
    <w:p w:rsidR="00000000" w:rsidRPr="007E46E0" w:rsidP="007E46E0">
      <w:pPr>
        <w:pStyle w:val="BodyText"/>
      </w:pPr>
    </w:p>
    <w:p w:rsidR="00000000" w:rsidRPr="007E46E0" w:rsidP="007E46E0">
      <w:pPr>
        <w:pStyle w:val="AllowPageBreak"/>
      </w:pPr>
    </w:p>
    <w:p w:rsidR="00000000" w:rsidRPr="007E46E0" w:rsidP="007E46E0">
      <w:pPr>
        <w:pStyle w:val="Heading1"/>
      </w:pPr>
      <w:bookmarkStart w:id="8" w:name="O_946476"/>
      <w:bookmarkEnd w:id="8"/>
      <w:r w:rsidRPr="007E46E0">
        <w:t>Unit Mapping Information</w:t>
      </w:r>
    </w:p>
    <w:p w:rsidR="00000000" w:rsidRPr="007E46E0" w:rsidP="00F406ED">
      <w:pPr>
        <w:pStyle w:val="BodyText"/>
      </w:pPr>
      <w:r w:rsidRPr="007E46E0">
        <w:t xml:space="preserve">Release 1. Supersedes and is equivalent to MEM19007B Perform gemstone setting </w:t>
      </w:r>
    </w:p>
    <w:p w:rsidR="00000000" w:rsidRPr="007E46E0" w:rsidP="007E46E0">
      <w:pPr>
        <w:pStyle w:val="Heading1"/>
      </w:pPr>
      <w:bookmarkStart w:id="9" w:name="O_946469"/>
      <w:bookmarkEnd w:id="9"/>
      <w:r w:rsidRPr="007E46E0">
        <w:t>Links</w:t>
      </w:r>
    </w:p>
    <w:p w:rsidR="00000000" w:rsidRPr="007E46E0" w:rsidP="00F406ED">
      <w:pPr>
        <w:pStyle w:val="BodyText"/>
      </w:pPr>
      <w:r w:rsidRPr="007E46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665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E46E0" w:rsidP="007E46E0"/>
    <w:sectPr w:rsidSect="007E46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E0" w:rsidRPr="00F406ED" w:rsidP="00F406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6ED" w:rsidP="007E4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6ED" w:rsidP="007E4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06ED" w:rsidP="007E4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6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6E0" w:rsidRPr="00F406ED" w:rsidP="00F406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6ED" w:rsidRPr="002D2AF8" w:rsidP="007E4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MEM19007 Perform gemstone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406ED" w:rsidP="007E4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843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CAFD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6E0"/>
  </w:style>
  <w:style w:type="character" w:customStyle="1" w:styleId="Heading1Char">
    <w:name w:val="Heading 1 Char"/>
    <w:basedOn w:val="DefaultParagraphFont"/>
    <w:link w:val="Heading1"/>
    <w:rsid w:val="007E4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6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6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6E0"/>
    <w:rPr>
      <w:b/>
      <w:spacing w:val="0"/>
    </w:rPr>
  </w:style>
  <w:style w:type="paragraph" w:customStyle="1" w:styleId="SuperHeading">
    <w:name w:val="SuperHeading"/>
    <w:basedOn w:val="Normal"/>
    <w:rsid w:val="007E4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6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6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6E0"/>
    <w:rPr>
      <w:i/>
    </w:rPr>
  </w:style>
  <w:style w:type="paragraph" w:styleId="Caption">
    <w:name w:val="caption"/>
    <w:basedOn w:val="BodyText"/>
    <w:next w:val="Normal"/>
    <w:qFormat/>
    <w:rsid w:val="007E4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6E0"/>
  </w:style>
  <w:style w:type="paragraph" w:styleId="TableofFigures">
    <w:name w:val="table of figures"/>
    <w:basedOn w:val="Normal"/>
    <w:next w:val="Normal"/>
    <w:semiHidden/>
    <w:rsid w:val="007E4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6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46E0"/>
    <w:rPr>
      <w:rFonts w:ascii="Wingdings" w:hAnsi="Wingdings"/>
    </w:rPr>
  </w:style>
  <w:style w:type="paragraph" w:customStyle="1" w:styleId="TableHeading">
    <w:name w:val="Table Heading"/>
    <w:basedOn w:val="HeadingBase"/>
    <w:rsid w:val="007E4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6E0"/>
    <w:rPr>
      <w:color w:val="0033CC"/>
      <w:u w:val="none"/>
    </w:rPr>
  </w:style>
  <w:style w:type="paragraph" w:customStyle="1" w:styleId="BodyTextRight">
    <w:name w:val="Body Text Right"/>
    <w:basedOn w:val="BodyText"/>
    <w:rsid w:val="007E4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6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6E0"/>
    <w:rPr>
      <w:sz w:val="32"/>
    </w:rPr>
  </w:style>
  <w:style w:type="paragraph" w:customStyle="1" w:styleId="HeadingProcedure">
    <w:name w:val="Heading Procedure"/>
    <w:basedOn w:val="HeadingBase"/>
    <w:next w:val="Normal"/>
    <w:rsid w:val="007E4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6E0"/>
    <w:pPr>
      <w:spacing w:before="60" w:after="60"/>
    </w:pPr>
  </w:style>
  <w:style w:type="paragraph" w:styleId="ListContinue">
    <w:name w:val="List Continue"/>
    <w:basedOn w:val="List"/>
    <w:rsid w:val="007E46E0"/>
    <w:pPr>
      <w:ind w:firstLine="0"/>
    </w:pPr>
  </w:style>
  <w:style w:type="paragraph" w:customStyle="1" w:styleId="ListNote">
    <w:name w:val="List Note"/>
    <w:basedOn w:val="List"/>
    <w:rsid w:val="007E4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6E0"/>
    <w:rPr>
      <w:rFonts w:ascii="Courier New" w:hAnsi="Courier New"/>
    </w:rPr>
  </w:style>
  <w:style w:type="paragraph" w:customStyle="1" w:styleId="NoteBullet">
    <w:name w:val="Note Bullet"/>
    <w:basedOn w:val="Note"/>
    <w:rsid w:val="007E4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6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4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6E0"/>
    <w:rPr>
      <w:b/>
      <w:smallCaps/>
    </w:rPr>
  </w:style>
  <w:style w:type="paragraph" w:customStyle="1" w:styleId="TableListNumber">
    <w:name w:val="Table List Number"/>
    <w:basedOn w:val="ListNumber"/>
    <w:rsid w:val="007E4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6E0"/>
    <w:pPr>
      <w:numPr>
        <w:numId w:val="8"/>
      </w:numPr>
    </w:pPr>
  </w:style>
  <w:style w:type="paragraph" w:customStyle="1" w:styleId="ListAlpha2">
    <w:name w:val="List Alpha 2"/>
    <w:basedOn w:val="List2"/>
    <w:rsid w:val="007E46E0"/>
    <w:pPr>
      <w:numPr>
        <w:numId w:val="7"/>
      </w:numPr>
    </w:pPr>
  </w:style>
  <w:style w:type="paragraph" w:styleId="List2">
    <w:name w:val="List 2"/>
    <w:basedOn w:val="BodyText"/>
    <w:rsid w:val="007E4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6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6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6E0"/>
    <w:pPr>
      <w:numPr>
        <w:numId w:val="3"/>
      </w:numPr>
    </w:pPr>
  </w:style>
  <w:style w:type="paragraph" w:styleId="ListContinue2">
    <w:name w:val="List Continue 2"/>
    <w:basedOn w:val="List2"/>
    <w:rsid w:val="007E46E0"/>
    <w:pPr>
      <w:ind w:firstLine="0"/>
    </w:pPr>
  </w:style>
  <w:style w:type="paragraph" w:styleId="ListContinue3">
    <w:name w:val="List Continue 3"/>
    <w:basedOn w:val="List3"/>
    <w:rsid w:val="007E46E0"/>
    <w:pPr>
      <w:ind w:left="1021" w:firstLine="0"/>
    </w:pPr>
  </w:style>
  <w:style w:type="paragraph" w:styleId="ListContinue4">
    <w:name w:val="List Continue 4"/>
    <w:basedOn w:val="List4"/>
    <w:rsid w:val="007E46E0"/>
    <w:pPr>
      <w:ind w:firstLine="0"/>
    </w:pPr>
  </w:style>
  <w:style w:type="paragraph" w:styleId="ListContinue5">
    <w:name w:val="List Continue 5"/>
    <w:basedOn w:val="List5"/>
    <w:rsid w:val="007E46E0"/>
    <w:pPr>
      <w:ind w:firstLine="0"/>
    </w:pPr>
  </w:style>
  <w:style w:type="paragraph" w:styleId="ListNumber3">
    <w:name w:val="List Number 3"/>
    <w:basedOn w:val="List3"/>
    <w:rsid w:val="007E46E0"/>
    <w:pPr>
      <w:numPr>
        <w:numId w:val="4"/>
      </w:numPr>
    </w:pPr>
  </w:style>
  <w:style w:type="paragraph" w:styleId="ListNumber4">
    <w:name w:val="List Number 4"/>
    <w:basedOn w:val="List4"/>
    <w:rsid w:val="007E46E0"/>
    <w:pPr>
      <w:numPr>
        <w:numId w:val="5"/>
      </w:numPr>
    </w:pPr>
  </w:style>
  <w:style w:type="paragraph" w:styleId="ListNumber5">
    <w:name w:val="List Number 5"/>
    <w:basedOn w:val="List5"/>
    <w:rsid w:val="007E46E0"/>
    <w:pPr>
      <w:numPr>
        <w:numId w:val="6"/>
      </w:numPr>
    </w:pPr>
  </w:style>
  <w:style w:type="paragraph" w:styleId="BlockText">
    <w:name w:val="Block Text"/>
    <w:basedOn w:val="Normal"/>
    <w:rsid w:val="007E4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6E0"/>
    <w:rPr>
      <w:sz w:val="16"/>
      <w:vertAlign w:val="superscript"/>
    </w:rPr>
  </w:style>
  <w:style w:type="character" w:customStyle="1" w:styleId="Symbols">
    <w:name w:val="Symbols"/>
    <w:basedOn w:val="DefaultParagraphFont"/>
    <w:rsid w:val="007E46E0"/>
    <w:rPr>
      <w:rFonts w:ascii="Symbol" w:hAnsi="Symbol"/>
    </w:rPr>
  </w:style>
  <w:style w:type="character" w:customStyle="1" w:styleId="MenuOptions">
    <w:name w:val="Menu Options"/>
    <w:basedOn w:val="DefaultParagraphFont"/>
    <w:rsid w:val="007E4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6E0"/>
    <w:rPr>
      <w:b/>
    </w:rPr>
  </w:style>
  <w:style w:type="character" w:customStyle="1" w:styleId="Underlined">
    <w:name w:val="Underlined"/>
    <w:basedOn w:val="DefaultParagraphFont"/>
    <w:rsid w:val="007E46E0"/>
    <w:rPr>
      <w:u w:val="single"/>
    </w:rPr>
  </w:style>
  <w:style w:type="paragraph" w:customStyle="1" w:styleId="TableBodyTextRight">
    <w:name w:val="Table Body Text Right"/>
    <w:basedOn w:val="TableBodyText"/>
    <w:rsid w:val="007E4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6E0"/>
    <w:rPr>
      <w:sz w:val="18"/>
    </w:rPr>
  </w:style>
  <w:style w:type="paragraph" w:customStyle="1" w:styleId="BodySmallRight">
    <w:name w:val="Body Small Right"/>
    <w:basedOn w:val="BodyTextRight"/>
    <w:rsid w:val="007E46E0"/>
    <w:rPr>
      <w:sz w:val="18"/>
      <w:szCs w:val="18"/>
    </w:rPr>
  </w:style>
  <w:style w:type="paragraph" w:customStyle="1" w:styleId="MarginEdition">
    <w:name w:val="Margin Edition"/>
    <w:basedOn w:val="MarginNote"/>
    <w:rsid w:val="007E4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6E0"/>
    <w:rPr>
      <w:sz w:val="2"/>
      <w:szCs w:val="2"/>
    </w:rPr>
  </w:style>
  <w:style w:type="character" w:customStyle="1" w:styleId="Small">
    <w:name w:val="Small"/>
    <w:basedOn w:val="DefaultParagraphFont"/>
    <w:rsid w:val="007E46E0"/>
    <w:rPr>
      <w:sz w:val="16"/>
    </w:rPr>
  </w:style>
  <w:style w:type="paragraph" w:customStyle="1" w:styleId="WideTable">
    <w:name w:val="Wide Table"/>
    <w:basedOn w:val="Normal"/>
    <w:rsid w:val="007E4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6E0"/>
  </w:style>
  <w:style w:type="paragraph" w:styleId="Quote">
    <w:name w:val="Quote"/>
    <w:basedOn w:val="Heading1"/>
    <w:link w:val="QuoteChar"/>
    <w:qFormat/>
    <w:rsid w:val="007E4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6E0"/>
    <w:pPr>
      <w:pageBreakBefore/>
    </w:pPr>
  </w:style>
  <w:style w:type="paragraph" w:customStyle="1" w:styleId="Border">
    <w:name w:val="Border"/>
    <w:basedOn w:val="Normal"/>
    <w:qFormat/>
    <w:rsid w:val="007E4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6E0"/>
    <w:rPr>
      <w:u w:val="single"/>
    </w:rPr>
  </w:style>
  <w:style w:type="character" w:customStyle="1" w:styleId="BoldandItalics">
    <w:name w:val="Bold and Italics"/>
    <w:qFormat/>
    <w:rsid w:val="007E46E0"/>
    <w:rPr>
      <w:b/>
      <w:i/>
      <w:u w:val="none"/>
    </w:rPr>
  </w:style>
  <w:style w:type="paragraph" w:styleId="BalloonText">
    <w:name w:val="Balloon Text"/>
    <w:basedOn w:val="Normal"/>
    <w:link w:val="BalloonTextChar"/>
    <w:rsid w:val="007E4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6E0"/>
    <w:pPr>
      <w:spacing w:before="0" w:after="0"/>
    </w:pPr>
  </w:style>
  <w:style w:type="paragraph" w:customStyle="1" w:styleId="BodyTextBold">
    <w:name w:val="Body Text Bold"/>
    <w:basedOn w:val="BodyText"/>
    <w:qFormat/>
    <w:rsid w:val="007E46E0"/>
    <w:rPr>
      <w:b/>
    </w:rPr>
  </w:style>
  <w:style w:type="character" w:styleId="Hyperlink">
    <w:name w:val="Hyperlink"/>
    <w:basedOn w:val="DefaultParagraphFont"/>
    <w:uiPriority w:val="99"/>
    <w:unhideWhenUsed/>
    <w:rsid w:val="00F406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2939</Characters>
  <Application>Microsoft Office Word</Application>
  <DocSecurity>0</DocSecurity>
  <Lines>154</Lines>
  <Paragraphs>100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MEM19007 Perform gemstone setting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