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7AD6" w:rsidP="002E7A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MEM19002 Prepare jewellery illustrations</w:t>
      </w:r>
      <w:r>
        <w:fldChar w:fldCharType="end"/>
      </w:r>
    </w:p>
    <w:p w:rsidR="002E7AD6" w:rsidP="002E7AD6">
      <w:pPr>
        <w:pStyle w:val="Version"/>
        <w:sectPr w:rsidSect="001E3C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3CFA" w:rsidP="001E3CFA">
      <w:pPr>
        <w:pStyle w:val="SuperHeading"/>
      </w:pPr>
      <w:r w:rsidRPr="001E3CFA">
        <w:t>MEM19002 Prepare jewellery illustrations</w:t>
      </w:r>
    </w:p>
    <w:p w:rsidR="00000000" w:rsidRPr="001E3CFA" w:rsidP="001E3CFA">
      <w:pPr>
        <w:pStyle w:val="Heading1"/>
      </w:pPr>
      <w:bookmarkStart w:id="1" w:name="O_946380"/>
      <w:bookmarkEnd w:id="1"/>
      <w:r w:rsidRPr="001E3CFA">
        <w:t>Modification History</w:t>
      </w:r>
    </w:p>
    <w:p w:rsidR="00000000" w:rsidRPr="001E3CFA" w:rsidP="002E7AD6">
      <w:pPr>
        <w:pStyle w:val="BodyText"/>
      </w:pPr>
      <w:r w:rsidRPr="001E3CFA">
        <w:t xml:space="preserve">Release 1. Supersedes and is equivalent to MEM19002B Prepare jewellery illustrations </w:t>
      </w:r>
    </w:p>
    <w:p w:rsidR="00000000" w:rsidRPr="001E3CFA" w:rsidP="001E3CFA">
      <w:pPr>
        <w:pStyle w:val="Heading1"/>
      </w:pPr>
      <w:bookmarkStart w:id="2" w:name="O_946388"/>
      <w:bookmarkEnd w:id="2"/>
      <w:r w:rsidRPr="001E3CFA">
        <w:t>Application</w:t>
      </w:r>
    </w:p>
    <w:p w:rsidR="00000000" w:rsidRPr="001E3CFA" w:rsidP="002E7AD6">
      <w:pPr>
        <w:pStyle w:val="BodyText"/>
      </w:pPr>
      <w:r w:rsidRPr="001E3CFA">
        <w:t>This unit of competency defines the skills and knowledge required to produce illustrations for manufacture, modification</w:t>
      </w:r>
      <w:r w:rsidRPr="001E3CFA">
        <w:t xml:space="preserve"> or repair of jewellery items.</w:t>
      </w:r>
    </w:p>
    <w:p w:rsidR="00000000" w:rsidRPr="001E3CFA" w:rsidP="002E7AD6">
      <w:pPr>
        <w:pStyle w:val="BodyText"/>
      </w:pPr>
      <w:r w:rsidRPr="001E3CFA">
        <w:t>Where computerised storage and retrieval systems are used unit MEM16008 Interact with computing technology should also be selected.</w:t>
      </w:r>
    </w:p>
    <w:p w:rsidR="00000000" w:rsidRPr="001E3CFA" w:rsidP="002E7AD6">
      <w:pPr>
        <w:pStyle w:val="BodyText"/>
      </w:pPr>
      <w:r w:rsidRPr="001E3CFA">
        <w:t xml:space="preserve">Where a computer-aided design (CAD) system is required to be used appropriate units should </w:t>
      </w:r>
      <w:r w:rsidRPr="001E3CFA">
        <w:t>also be selected.</w:t>
      </w:r>
    </w:p>
    <w:p w:rsidR="00000000" w:rsidRPr="001E3CFA" w:rsidP="002E7AD6">
      <w:pPr>
        <w:pStyle w:val="BodyText"/>
      </w:pPr>
      <w:r w:rsidRPr="001E3CFA">
        <w:t xml:space="preserve">Where interpersonal and customer/client service skills are required to be used the appropriate units should also be selected. </w:t>
      </w:r>
    </w:p>
    <w:p w:rsidR="00000000" w:rsidRPr="001E3CFA" w:rsidP="002E7AD6">
      <w:pPr>
        <w:pStyle w:val="BodyText"/>
      </w:pPr>
      <w:r w:rsidRPr="001E3CFA">
        <w:t>No licensing, legislative or certification requirements apply to this unit at the time of publication.</w:t>
      </w:r>
    </w:p>
    <w:p w:rsidR="00000000" w:rsidRPr="001E3CFA" w:rsidP="001E3CFA">
      <w:pPr>
        <w:pStyle w:val="BodyText"/>
      </w:pPr>
      <w:r w:rsidRPr="001E3CFA">
        <w:rPr>
          <w:rStyle w:val="SpecialBold"/>
        </w:rPr>
        <w:t>Band</w:t>
      </w:r>
      <w:r w:rsidRPr="001E3CFA">
        <w:t>:</w:t>
      </w:r>
      <w:r w:rsidRPr="001E3CFA">
        <w:tab/>
      </w:r>
      <w:r w:rsidRPr="001E3CFA">
        <w:rPr>
          <w:rStyle w:val="SpecialBold"/>
        </w:rPr>
        <w:t>A</w:t>
      </w:r>
    </w:p>
    <w:p w:rsidR="00000000" w:rsidRPr="001E3CFA" w:rsidP="001E3CFA">
      <w:pPr>
        <w:pStyle w:val="BodyText"/>
      </w:pPr>
      <w:r w:rsidRPr="001E3CFA">
        <w:rPr>
          <w:rStyle w:val="SpecialBold"/>
        </w:rPr>
        <w:t>Unit Weight</w:t>
      </w:r>
      <w:r w:rsidRPr="001E3CFA">
        <w:t>:</w:t>
      </w:r>
      <w:r w:rsidRPr="001E3CFA">
        <w:tab/>
      </w:r>
      <w:r w:rsidRPr="001E3CFA">
        <w:rPr>
          <w:rStyle w:val="SpecialBold"/>
        </w:rPr>
        <w:t>4</w:t>
      </w:r>
    </w:p>
    <w:p w:rsidR="00000000" w:rsidRPr="001E3CFA" w:rsidP="001E3CFA">
      <w:pPr>
        <w:pStyle w:val="AllowPageBreak"/>
      </w:pPr>
    </w:p>
    <w:p w:rsidR="00000000" w:rsidRPr="001E3CFA" w:rsidP="001E3CFA">
      <w:pPr>
        <w:pStyle w:val="Heading1"/>
      </w:pPr>
      <w:bookmarkStart w:id="3" w:name="O_946387"/>
      <w:bookmarkEnd w:id="3"/>
      <w:r w:rsidRPr="001E3CFA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6618"/>
      </w:tblGrid>
      <w:tr w:rsidTr="001E3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CFA">
            <w:pPr>
              <w:pStyle w:val="BodyText"/>
              <w:rPr>
                <w:lang w:val="en-NZ"/>
              </w:rPr>
            </w:pPr>
            <w:r w:rsidRPr="001E3CFA">
              <w:t>MEM13015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CFA">
            <w:pPr>
              <w:pStyle w:val="BodyText"/>
              <w:rPr>
                <w:lang w:val="en-NZ"/>
              </w:rPr>
            </w:pPr>
            <w:r w:rsidRPr="001E3CFA">
              <w:t>Work safely and effectively in manufacturing and engineering</w:t>
            </w:r>
          </w:p>
        </w:tc>
      </w:tr>
      <w:tr w:rsidTr="001E3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CFA">
            <w:pPr>
              <w:pStyle w:val="BodyText"/>
              <w:rPr>
                <w:lang w:val="en-NZ"/>
              </w:rPr>
            </w:pPr>
            <w:r w:rsidRPr="001E3CFA">
              <w:t>MEM16006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CFA" w:rsidP="001E3CFA">
            <w:pPr>
              <w:pStyle w:val="BodyText"/>
            </w:pPr>
            <w:r w:rsidRPr="001E3CFA">
              <w:t>Organise and communicate information</w:t>
            </w:r>
          </w:p>
        </w:tc>
      </w:tr>
    </w:tbl>
    <w:p w:rsidR="00000000" w:rsidRPr="001E3CFA" w:rsidP="001E3CFA">
      <w:pPr>
        <w:pStyle w:val="BodyText"/>
      </w:pPr>
    </w:p>
    <w:p w:rsidR="00000000" w:rsidRPr="001E3CFA" w:rsidP="001E3CFA">
      <w:pPr>
        <w:pStyle w:val="AllowPageBreak"/>
      </w:pPr>
    </w:p>
    <w:p w:rsidR="00000000" w:rsidRPr="001E3CFA" w:rsidP="001E3CFA">
      <w:pPr>
        <w:pStyle w:val="Heading1"/>
      </w:pPr>
      <w:bookmarkStart w:id="4" w:name="O_946386"/>
      <w:bookmarkEnd w:id="4"/>
      <w:r w:rsidRPr="001E3CFA">
        <w:t>Competency Field</w:t>
      </w:r>
    </w:p>
    <w:p w:rsidR="00000000" w:rsidRPr="001E3CFA" w:rsidP="002E7AD6">
      <w:pPr>
        <w:pStyle w:val="BodyText"/>
      </w:pPr>
      <w:r w:rsidRPr="001E3CFA">
        <w:t>Jewellery and horological</w:t>
      </w:r>
    </w:p>
    <w:p w:rsidR="00000000" w:rsidRPr="001E3CFA" w:rsidP="001E3CFA">
      <w:pPr>
        <w:pStyle w:val="Heading1"/>
      </w:pPr>
      <w:bookmarkStart w:id="5" w:name="O_946384"/>
      <w:bookmarkEnd w:id="5"/>
      <w:r w:rsidRPr="001E3CF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1E3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CFA">
            <w:pPr>
              <w:pStyle w:val="BodyText"/>
              <w:rPr>
                <w:lang w:val="en-NZ"/>
              </w:rPr>
            </w:pPr>
            <w:r w:rsidRPr="001E3CFA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CFA">
            <w:pPr>
              <w:pStyle w:val="BodyText"/>
              <w:rPr>
                <w:lang w:val="en-NZ"/>
              </w:rPr>
            </w:pPr>
            <w:r w:rsidRPr="001E3CFA">
              <w:t>Performance criteria describe the performance needed to demonstrate achievement of the element.</w:t>
            </w:r>
          </w:p>
        </w:tc>
      </w:tr>
      <w:tr w:rsidTr="001E3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CFA" w:rsidP="001E3CFA">
            <w:pPr>
              <w:pStyle w:val="BodyText"/>
            </w:pPr>
            <w:r w:rsidRPr="001E3CFA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CFA">
            <w:pPr>
              <w:pStyle w:val="BodyText"/>
              <w:rPr>
                <w:lang w:val="en-NZ"/>
              </w:rPr>
            </w:pPr>
            <w:r w:rsidRPr="001E3CFA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CFA">
            <w:pPr>
              <w:pStyle w:val="BodyText"/>
              <w:rPr>
                <w:lang w:val="en-NZ"/>
              </w:rPr>
            </w:pPr>
            <w:r w:rsidRPr="001E3CFA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CFA">
            <w:pPr>
              <w:pStyle w:val="BodyText"/>
              <w:rPr>
                <w:lang w:val="en-NZ"/>
              </w:rPr>
            </w:pPr>
            <w:r w:rsidRPr="001E3CFA">
              <w:t>Follow standard operating procedures (SOPs)</w:t>
            </w:r>
          </w:p>
        </w:tc>
      </w:tr>
      <w:tr w:rsidTr="001E3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CFA">
            <w:pPr>
              <w:pStyle w:val="BodyText"/>
              <w:rPr>
                <w:lang w:val="en-NZ"/>
              </w:rPr>
            </w:pPr>
            <w:r w:rsidRPr="001E3CFA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CFA">
            <w:pPr>
              <w:pStyle w:val="BodyText"/>
              <w:rPr>
                <w:lang w:val="en-NZ"/>
              </w:rPr>
            </w:pPr>
            <w:r w:rsidRPr="001E3CFA">
              <w:t>Comply with work health and safety (WHS) requirements at all times</w:t>
            </w:r>
          </w:p>
        </w:tc>
      </w:tr>
      <w:tr w:rsidTr="001E3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CFA">
            <w:pPr>
              <w:pStyle w:val="BodyText"/>
              <w:rPr>
                <w:lang w:val="en-NZ"/>
              </w:rPr>
            </w:pPr>
            <w:r w:rsidRPr="001E3CFA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CFA">
            <w:pPr>
              <w:pStyle w:val="BodyText"/>
              <w:rPr>
                <w:lang w:val="en-NZ"/>
              </w:rPr>
            </w:pPr>
            <w:r w:rsidRPr="001E3CFA">
              <w:t>Determine job requirements from specifications, job sheets or work instructions</w:t>
            </w:r>
          </w:p>
        </w:tc>
      </w:tr>
      <w:tr w:rsidTr="001E3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CFA">
            <w:pPr>
              <w:pStyle w:val="BodyText"/>
              <w:rPr>
                <w:lang w:val="en-NZ"/>
              </w:rPr>
            </w:pPr>
          </w:p>
        </w:tc>
      </w:tr>
      <w:tr w:rsidTr="001E3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CFA" w:rsidP="001E3CFA">
            <w:pPr>
              <w:pStyle w:val="BodyText"/>
            </w:pPr>
            <w:r w:rsidRPr="001E3CFA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CFA">
            <w:pPr>
              <w:pStyle w:val="BodyText"/>
              <w:rPr>
                <w:lang w:val="en-NZ"/>
              </w:rPr>
            </w:pPr>
            <w:r w:rsidRPr="001E3CFA">
              <w:rPr>
                <w:rStyle w:val="SpecialBold"/>
              </w:rPr>
              <w:t>Prepare or modify drawing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CFA">
            <w:pPr>
              <w:pStyle w:val="BodyText"/>
              <w:rPr>
                <w:lang w:val="en-NZ"/>
              </w:rPr>
            </w:pPr>
            <w:r w:rsidRPr="001E3CFA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CFA">
            <w:pPr>
              <w:pStyle w:val="BodyText"/>
              <w:rPr>
                <w:lang w:val="en-NZ"/>
              </w:rPr>
            </w:pPr>
            <w:r w:rsidRPr="001E3CFA">
              <w:t>Select tools and equipment for drawing</w:t>
            </w:r>
          </w:p>
        </w:tc>
      </w:tr>
      <w:tr w:rsidTr="001E3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CFA">
            <w:pPr>
              <w:pStyle w:val="BodyText"/>
              <w:rPr>
                <w:lang w:val="en-NZ"/>
              </w:rPr>
            </w:pPr>
            <w:r w:rsidRPr="001E3CFA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CFA">
            <w:pPr>
              <w:pStyle w:val="BodyText"/>
              <w:rPr>
                <w:lang w:val="en-NZ"/>
              </w:rPr>
            </w:pPr>
            <w:r w:rsidRPr="001E3CFA">
              <w:t>Generate illustrations consistent with enterprise SOPs</w:t>
            </w:r>
          </w:p>
        </w:tc>
      </w:tr>
      <w:tr w:rsidTr="001E3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CFA">
            <w:pPr>
              <w:pStyle w:val="BodyText"/>
              <w:rPr>
                <w:lang w:val="en-NZ"/>
              </w:rPr>
            </w:pPr>
            <w:r w:rsidRPr="001E3CFA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CFA">
            <w:pPr>
              <w:pStyle w:val="BodyText"/>
              <w:rPr>
                <w:lang w:val="en-NZ"/>
              </w:rPr>
            </w:pPr>
            <w:r w:rsidRPr="001E3CFA">
              <w:t>Render illustration</w:t>
            </w:r>
          </w:p>
        </w:tc>
      </w:tr>
      <w:tr w:rsidTr="001E3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CFA">
            <w:pPr>
              <w:pStyle w:val="BodyText"/>
              <w:rPr>
                <w:lang w:val="en-NZ"/>
              </w:rPr>
            </w:pPr>
            <w:r w:rsidRPr="001E3CFA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CFA">
            <w:pPr>
              <w:pStyle w:val="BodyText"/>
              <w:rPr>
                <w:lang w:val="en-NZ"/>
              </w:rPr>
            </w:pPr>
            <w:r w:rsidRPr="001E3CFA">
              <w:t>Approve illustration and accompanying documentation in accordance with SOPs</w:t>
            </w:r>
          </w:p>
        </w:tc>
      </w:tr>
      <w:tr w:rsidTr="001E3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CFA">
            <w:pPr>
              <w:pStyle w:val="BodyText"/>
              <w:rPr>
                <w:lang w:val="en-NZ"/>
              </w:rPr>
            </w:pPr>
            <w:r w:rsidRPr="001E3CFA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CFA" w:rsidP="001E3CFA">
            <w:pPr>
              <w:pStyle w:val="BodyText"/>
            </w:pPr>
            <w:r w:rsidRPr="001E3CFA">
              <w:t>Use, store, file, copy and issue working and reference drawings and illustrations</w:t>
            </w:r>
          </w:p>
        </w:tc>
      </w:tr>
    </w:tbl>
    <w:p w:rsidR="002E7AD6" w:rsidP="001E3CFA">
      <w:pPr>
        <w:pStyle w:val="BodyText"/>
      </w:pPr>
    </w:p>
    <w:p w:rsidR="002E7AD6" w:rsidP="001E3CFA">
      <w:pPr>
        <w:pStyle w:val="BodyText"/>
      </w:pPr>
    </w:p>
    <w:p w:rsidR="00000000" w:rsidRPr="001E3CFA" w:rsidP="001E3CFA">
      <w:pPr>
        <w:pStyle w:val="Heading1"/>
      </w:pPr>
      <w:bookmarkStart w:id="6" w:name="O_946383"/>
      <w:bookmarkEnd w:id="6"/>
      <w:r w:rsidRPr="001E3CFA">
        <w:t>Foundation Skills</w:t>
      </w:r>
    </w:p>
    <w:p w:rsidR="00000000" w:rsidRPr="001E3CFA" w:rsidP="002E7AD6">
      <w:pPr>
        <w:pStyle w:val="BodyText"/>
      </w:pPr>
      <w:r w:rsidRPr="001E3CFA">
        <w:t xml:space="preserve">This section describes those required skills (reading, writing, oral communication and numeracy) that are essential to workplace performance in this unit of competency.  </w:t>
      </w:r>
    </w:p>
    <w:p w:rsidR="00000000" w:rsidRPr="001E3CFA" w:rsidP="002E7AD6">
      <w:pPr>
        <w:pStyle w:val="BodyText"/>
      </w:pPr>
      <w:r w:rsidRPr="001E3CFA">
        <w:t>Foundation skills essential to performance are e</w:t>
      </w:r>
      <w:r w:rsidRPr="001E3CFA">
        <w:t>xplicit in the performance criteria of this unit of competency.</w:t>
      </w:r>
    </w:p>
    <w:p w:rsidR="00000000" w:rsidRPr="001E3CFA" w:rsidP="001E3CFA">
      <w:pPr>
        <w:pStyle w:val="Heading1"/>
      </w:pPr>
      <w:bookmarkStart w:id="7" w:name="O_946382"/>
      <w:bookmarkEnd w:id="7"/>
      <w:r w:rsidRPr="001E3CFA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1E3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CFA">
            <w:pPr>
              <w:pStyle w:val="BodyText"/>
              <w:rPr>
                <w:lang w:val="en-NZ"/>
              </w:rPr>
            </w:pPr>
            <w:r w:rsidRPr="001E3CFA">
              <w:t>This field allows for different work environments and conditions that may affect performance. Essential operating conditions that may be present (depending</w:t>
            </w:r>
            <w:r w:rsidRPr="001E3CFA">
              <w:t xml:space="preserve"> on the work situation, needs of the candidate, accessibility of the item, and local industry and regional contexts) are included.</w:t>
            </w:r>
          </w:p>
        </w:tc>
      </w:tr>
      <w:tr w:rsidTr="001E3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CFA">
            <w:pPr>
              <w:pStyle w:val="BodyText"/>
              <w:rPr>
                <w:lang w:val="en-NZ"/>
              </w:rPr>
            </w:pPr>
            <w:r w:rsidRPr="001E3CFA">
              <w:rPr>
                <w:rStyle w:val="SpecialBold"/>
              </w:rPr>
              <w:t xml:space="preserve">Job specifications, job sheets or work </w:t>
            </w:r>
            <w:r w:rsidRPr="001E3CFA">
              <w:rPr>
                <w:rStyle w:val="SpecialBold"/>
              </w:rPr>
              <w:t>instructions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CFA" w:rsidP="001E3CFA">
            <w:pPr>
              <w:pStyle w:val="ListBullet"/>
            </w:pPr>
            <w:r w:rsidRPr="001E3CFA">
              <w:t>stone inclusions and sizes</w:t>
            </w:r>
          </w:p>
          <w:p w:rsidR="00000000" w:rsidRPr="001E3CFA" w:rsidP="001E3CFA">
            <w:pPr>
              <w:pStyle w:val="ListBullet"/>
            </w:pPr>
            <w:r w:rsidRPr="001E3CFA">
              <w:t>customer sizing</w:t>
            </w:r>
          </w:p>
          <w:p w:rsidR="00000000" w:rsidRPr="001E3CFA" w:rsidP="001E3CFA">
            <w:pPr>
              <w:pStyle w:val="ListBullet"/>
            </w:pPr>
            <w:r w:rsidRPr="001E3CFA">
              <w:t xml:space="preserve">special requests e.g. engraving </w:t>
            </w:r>
          </w:p>
          <w:p w:rsidR="00000000" w:rsidRPr="001E3CFA" w:rsidP="001E3CFA">
            <w:pPr>
              <w:pStyle w:val="ListBullet"/>
            </w:pPr>
            <w:r w:rsidRPr="001E3CFA">
              <w:t>material requirements</w:t>
            </w:r>
          </w:p>
          <w:p w:rsidR="00000000" w:rsidRPr="001E3CFA" w:rsidP="001E3CFA">
            <w:pPr>
              <w:pStyle w:val="ListBullet"/>
            </w:pPr>
            <w:r w:rsidRPr="001E3CFA">
              <w:t>collection arrangements</w:t>
            </w:r>
          </w:p>
          <w:p w:rsidR="00000000" w:rsidRPr="001E3CFA" w:rsidP="001E3CFA">
            <w:pPr>
              <w:pStyle w:val="ListBullet"/>
            </w:pPr>
            <w:r w:rsidRPr="001E3CFA">
              <w:t>design information</w:t>
            </w:r>
          </w:p>
          <w:p w:rsidR="00000000" w:rsidRPr="001E3CFA" w:rsidP="001E3CFA">
            <w:pPr>
              <w:pStyle w:val="ListBullet"/>
            </w:pPr>
            <w:r w:rsidRPr="001E3CFA">
              <w:t>customer ideas and concepts</w:t>
            </w:r>
          </w:p>
          <w:p w:rsidR="00000000" w:rsidRPr="001E3CFA" w:rsidP="001E3CFA">
            <w:pPr>
              <w:pStyle w:val="ListBullet"/>
            </w:pPr>
            <w:r w:rsidRPr="001E3CFA">
              <w:t>sketches</w:t>
            </w:r>
          </w:p>
          <w:p w:rsidR="00000000" w:rsidRPr="001E3CFA" w:rsidP="001E3CFA">
            <w:pPr>
              <w:pStyle w:val="ListBullet"/>
            </w:pPr>
            <w:r w:rsidRPr="001E3CFA">
              <w:t>preliminary layouts</w:t>
            </w:r>
          </w:p>
          <w:p w:rsidR="00000000" w:rsidRPr="001E3CFA" w:rsidP="001E3CFA">
            <w:pPr>
              <w:pStyle w:val="ListBullet"/>
            </w:pPr>
            <w:r w:rsidRPr="001E3CFA">
              <w:t>work instructions</w:t>
            </w:r>
          </w:p>
          <w:p w:rsidR="00000000" w:rsidRPr="001E3CFA" w:rsidP="001E3CFA">
            <w:pPr>
              <w:pStyle w:val="ListBullet"/>
            </w:pPr>
            <w:r w:rsidRPr="001E3CFA">
              <w:t xml:space="preserve">job packets </w:t>
            </w:r>
          </w:p>
          <w:p w:rsidR="00000000" w:rsidRPr="001E3CFA" w:rsidP="001E3CFA">
            <w:pPr>
              <w:pStyle w:val="ListBullet"/>
            </w:pPr>
            <w:r w:rsidRPr="001E3CFA">
              <w:t>associated documents</w:t>
            </w:r>
          </w:p>
          <w:p w:rsidR="00000000" w:rsidP="001E3CFA">
            <w:pPr>
              <w:pStyle w:val="BodyText"/>
              <w:rPr>
                <w:lang w:val="en-NZ"/>
              </w:rPr>
            </w:pPr>
          </w:p>
        </w:tc>
      </w:tr>
      <w:tr w:rsidTr="001E3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CFA">
            <w:pPr>
              <w:pStyle w:val="BodyText"/>
              <w:rPr>
                <w:lang w:val="en-NZ"/>
              </w:rPr>
            </w:pPr>
            <w:r w:rsidRPr="001E3CFA">
              <w:rPr>
                <w:rStyle w:val="SpecialBold"/>
              </w:rPr>
              <w:t>Tools and equipment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CFA" w:rsidP="001E3CFA">
            <w:pPr>
              <w:pStyle w:val="ListBullet"/>
            </w:pPr>
            <w:r w:rsidRPr="001E3CFA">
              <w:t>compass</w:t>
            </w:r>
          </w:p>
          <w:p w:rsidR="00000000" w:rsidRPr="001E3CFA" w:rsidP="001E3CFA">
            <w:pPr>
              <w:pStyle w:val="ListBullet"/>
            </w:pPr>
            <w:r w:rsidRPr="001E3CFA">
              <w:t>set square</w:t>
            </w:r>
          </w:p>
          <w:p w:rsidR="00000000" w:rsidRPr="001E3CFA" w:rsidP="001E3CFA">
            <w:pPr>
              <w:pStyle w:val="ListBullet"/>
            </w:pPr>
            <w:r w:rsidRPr="001E3CFA">
              <w:t>ruler</w:t>
            </w:r>
          </w:p>
          <w:p w:rsidR="00000000" w:rsidRPr="001E3CFA" w:rsidP="001E3CFA">
            <w:pPr>
              <w:pStyle w:val="ListBullet"/>
            </w:pPr>
            <w:r w:rsidRPr="001E3CFA">
              <w:t xml:space="preserve">range of graphite or colour pencils </w:t>
            </w:r>
          </w:p>
          <w:p w:rsidR="00000000" w:rsidRPr="001E3CFA" w:rsidP="001E3CFA">
            <w:pPr>
              <w:pStyle w:val="ListBullet"/>
            </w:pPr>
            <w:r w:rsidRPr="001E3CFA">
              <w:t>cartridge paper</w:t>
            </w:r>
          </w:p>
          <w:p w:rsidR="00000000" w:rsidRPr="001E3CFA" w:rsidP="001E3CFA">
            <w:pPr>
              <w:pStyle w:val="ListBullet"/>
            </w:pPr>
            <w:r w:rsidRPr="001E3CFA">
              <w:t>computer</w:t>
            </w:r>
          </w:p>
          <w:p w:rsidR="00000000" w:rsidRPr="001E3CFA" w:rsidP="001E3CFA">
            <w:pPr>
              <w:pStyle w:val="ListBullet"/>
            </w:pPr>
            <w:r w:rsidRPr="001E3CFA">
              <w:t>software program</w:t>
            </w:r>
          </w:p>
          <w:p w:rsidR="00000000" w:rsidP="001E3CFA">
            <w:pPr>
              <w:pStyle w:val="BodyText"/>
              <w:rPr>
                <w:lang w:val="en-NZ"/>
              </w:rPr>
            </w:pPr>
          </w:p>
        </w:tc>
      </w:tr>
      <w:tr w:rsidTr="001E3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CFA">
            <w:pPr>
              <w:pStyle w:val="BodyText"/>
              <w:rPr>
                <w:lang w:val="en-NZ"/>
              </w:rPr>
            </w:pPr>
            <w:r w:rsidRPr="001E3CFA">
              <w:rPr>
                <w:rStyle w:val="SpecialBold"/>
              </w:rPr>
              <w:t>Accompanying documentation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CFA" w:rsidP="001E3CFA">
            <w:pPr>
              <w:pStyle w:val="ListBullet"/>
            </w:pPr>
            <w:r w:rsidRPr="001E3CFA">
              <w:t>quotation</w:t>
            </w:r>
          </w:p>
          <w:p w:rsidR="00000000" w:rsidRPr="001E3CFA" w:rsidP="001E3CFA">
            <w:pPr>
              <w:pStyle w:val="ListBullet"/>
            </w:pPr>
            <w:r w:rsidRPr="001E3CFA">
              <w:t xml:space="preserve">specific design information </w:t>
            </w:r>
          </w:p>
          <w:p w:rsidR="00000000" w:rsidRPr="001E3CFA" w:rsidP="001E3CFA">
            <w:pPr>
              <w:pStyle w:val="ListBullet"/>
            </w:pPr>
            <w:r w:rsidRPr="001E3CFA">
              <w:t>recommendations</w:t>
            </w:r>
          </w:p>
          <w:p w:rsidR="00000000" w:rsidRPr="001E3CFA" w:rsidP="001E3CFA">
            <w:pPr>
              <w:pStyle w:val="BodyText"/>
            </w:pPr>
          </w:p>
        </w:tc>
      </w:tr>
    </w:tbl>
    <w:p w:rsidR="00000000" w:rsidRPr="001E3CFA" w:rsidP="001E3CFA">
      <w:pPr>
        <w:pStyle w:val="BodyText"/>
      </w:pPr>
    </w:p>
    <w:p w:rsidR="00000000" w:rsidRPr="001E3CFA" w:rsidP="001E3CFA">
      <w:pPr>
        <w:pStyle w:val="AllowPageBreak"/>
      </w:pPr>
    </w:p>
    <w:p w:rsidR="00000000" w:rsidRPr="001E3CFA" w:rsidP="001E3CFA">
      <w:pPr>
        <w:pStyle w:val="Heading1"/>
      </w:pPr>
      <w:bookmarkStart w:id="8" w:name="O_946381"/>
      <w:bookmarkEnd w:id="8"/>
      <w:r w:rsidRPr="001E3CFA">
        <w:t>Unit Mapping Information</w:t>
      </w:r>
    </w:p>
    <w:p w:rsidR="00000000" w:rsidRPr="001E3CFA" w:rsidP="002E7AD6">
      <w:pPr>
        <w:pStyle w:val="BodyText"/>
      </w:pPr>
      <w:r w:rsidRPr="001E3CFA">
        <w:t xml:space="preserve">Release 1. Supersedes and is equivalent to MEM19002B Prepare jewellery illustrations </w:t>
      </w:r>
    </w:p>
    <w:p w:rsidR="00000000" w:rsidRPr="001E3CFA" w:rsidP="001E3CFA">
      <w:pPr>
        <w:pStyle w:val="Heading1"/>
      </w:pPr>
      <w:bookmarkStart w:id="9" w:name="O_946374"/>
      <w:bookmarkEnd w:id="9"/>
      <w:r w:rsidRPr="001E3CFA">
        <w:t>Links</w:t>
      </w:r>
    </w:p>
    <w:p w:rsidR="00000000" w:rsidRPr="001E3CFA" w:rsidP="002E7AD6">
      <w:pPr>
        <w:pStyle w:val="BodyText"/>
      </w:pPr>
      <w:r w:rsidRPr="001E3CFA">
        <w:t>Companion Volume implementation guides are found in VETNe</w:t>
      </w:r>
      <w:r w:rsidRPr="001E3CFA">
        <w:t xml:space="preserve">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B389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E3CFA" w:rsidP="002E7AD6">
      <w:pPr>
        <w:pStyle w:val="BodyText"/>
        <w:sectPr w:rsidSect="001E3CF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3CFA" w:rsidP="001E3CFA">
      <w:pPr>
        <w:pStyle w:val="SuperHeading"/>
      </w:pPr>
      <w:r w:rsidRPr="001E3CFA">
        <w:t>Assessment Requirements for MEM19002 Prepare jewellery illustrations</w:t>
      </w:r>
    </w:p>
    <w:p w:rsidR="00000000" w:rsidRPr="001E3CFA" w:rsidP="001E3CFA">
      <w:pPr>
        <w:pStyle w:val="Heading1"/>
      </w:pPr>
      <w:bookmarkStart w:id="10" w:name="O_946376"/>
      <w:bookmarkEnd w:id="10"/>
      <w:r w:rsidRPr="001E3CFA">
        <w:t>Modification History</w:t>
      </w:r>
    </w:p>
    <w:p w:rsidR="00000000" w:rsidRPr="001E3CFA" w:rsidP="002E7AD6">
      <w:pPr>
        <w:pStyle w:val="BodyText"/>
      </w:pPr>
      <w:r w:rsidRPr="001E3CFA">
        <w:t xml:space="preserve">Release 1. Supersedes and is equivalent to MEM19002B Prepare jewellery illustrations </w:t>
      </w:r>
    </w:p>
    <w:p w:rsidR="00000000" w:rsidRPr="001E3CFA" w:rsidP="001E3CFA">
      <w:pPr>
        <w:pStyle w:val="Heading1"/>
      </w:pPr>
      <w:bookmarkStart w:id="11" w:name="O_946379"/>
      <w:bookmarkEnd w:id="11"/>
      <w:r w:rsidRPr="001E3CFA">
        <w:t>Performance Evidence</w:t>
      </w:r>
    </w:p>
    <w:p w:rsidR="00000000" w:rsidRPr="001E3CFA" w:rsidP="002E7AD6">
      <w:pPr>
        <w:pStyle w:val="BodyText"/>
      </w:pPr>
      <w:r w:rsidRPr="001E3CFA">
        <w:t>Evidence required to demonstrate competence in this unit must be relevant to and satisfy the requirements of the elements and performance criteria on at least two (2) occasions and include:</w:t>
      </w:r>
    </w:p>
    <w:p w:rsidR="00000000" w:rsidRPr="001E3CFA" w:rsidP="001E3CFA">
      <w:pPr>
        <w:pStyle w:val="ListBullet"/>
      </w:pPr>
      <w:r w:rsidRPr="001E3CFA">
        <w:t>following work instructions, standard operating procedures (SOPs)</w:t>
      </w:r>
      <w:r w:rsidRPr="001E3CFA">
        <w:t xml:space="preserve"> and safe work practices</w:t>
      </w:r>
    </w:p>
    <w:p w:rsidR="00000000" w:rsidRPr="001E3CFA" w:rsidP="001E3CFA">
      <w:pPr>
        <w:pStyle w:val="ListBullet"/>
      </w:pPr>
      <w:r w:rsidRPr="001E3CFA">
        <w:t xml:space="preserve">identifying and interpreting specifications </w:t>
      </w:r>
    </w:p>
    <w:p w:rsidR="00000000" w:rsidRPr="001E3CFA" w:rsidP="001E3CFA">
      <w:pPr>
        <w:pStyle w:val="ListBullet"/>
      </w:pPr>
      <w:r w:rsidRPr="001E3CFA">
        <w:t>selecting equipment appropriate to the illustrating method and requirements and preparing or modifying drawing</w:t>
      </w:r>
    </w:p>
    <w:p w:rsidR="00000000" w:rsidRPr="001E3CFA" w:rsidP="001E3CFA">
      <w:pPr>
        <w:pStyle w:val="ListBullet"/>
      </w:pPr>
      <w:r w:rsidRPr="001E3CFA">
        <w:t>setting up and safely operating equipment</w:t>
      </w:r>
    </w:p>
    <w:p w:rsidR="00000000" w:rsidRPr="001E3CFA" w:rsidP="001E3CFA">
      <w:pPr>
        <w:pStyle w:val="ListBullet"/>
      </w:pPr>
      <w:r w:rsidRPr="001E3CFA">
        <w:t>using colour, shadow and highligh</w:t>
      </w:r>
      <w:r w:rsidRPr="001E3CFA">
        <w:t xml:space="preserve">t techniques for emphasis to display jewellery design concept, and rendering illustration </w:t>
      </w:r>
    </w:p>
    <w:p w:rsidR="00000000" w:rsidRPr="001E3CFA" w:rsidP="001E3CFA">
      <w:pPr>
        <w:pStyle w:val="ListBullet"/>
      </w:pPr>
      <w:r w:rsidRPr="001E3CFA">
        <w:t>approving final illustration as per design information and processing in accordance with procedures.</w:t>
      </w:r>
    </w:p>
    <w:p w:rsidR="00000000" w:rsidRPr="001E3CFA" w:rsidP="001E3CFA">
      <w:pPr>
        <w:pStyle w:val="AllowPageBreak"/>
      </w:pPr>
    </w:p>
    <w:p w:rsidR="00000000" w:rsidRPr="001E3CFA" w:rsidP="001E3CFA">
      <w:pPr>
        <w:pStyle w:val="Heading1"/>
      </w:pPr>
      <w:bookmarkStart w:id="12" w:name="O_946378"/>
      <w:bookmarkEnd w:id="12"/>
      <w:r w:rsidRPr="001E3CFA">
        <w:t>Knowledge Evidence</w:t>
      </w:r>
    </w:p>
    <w:p w:rsidR="00000000" w:rsidRPr="001E3CFA" w:rsidP="002E7AD6">
      <w:pPr>
        <w:pStyle w:val="BodyText"/>
      </w:pPr>
      <w:r w:rsidRPr="001E3CFA">
        <w:t>Evidence required to demonst</w:t>
      </w:r>
      <w:r w:rsidRPr="001E3CFA">
        <w:t>rate the required knowledge for this unit must be relevant to and satisfy the requirements of the elements and performance criteria and include knowledge of:</w:t>
      </w:r>
    </w:p>
    <w:p w:rsidR="00000000" w:rsidRPr="001E3CFA" w:rsidP="001E3CFA">
      <w:pPr>
        <w:pStyle w:val="ListBullet"/>
      </w:pPr>
      <w:r w:rsidRPr="001E3CFA">
        <w:t xml:space="preserve">safe work practices and procedures </w:t>
      </w:r>
    </w:p>
    <w:p w:rsidR="00000000" w:rsidRPr="001E3CFA" w:rsidP="001E3CFA">
      <w:pPr>
        <w:pStyle w:val="ListBullet"/>
      </w:pPr>
      <w:r w:rsidRPr="001E3CFA">
        <w:t>workplace documentation, storage and retrieval processes</w:t>
      </w:r>
    </w:p>
    <w:p w:rsidR="00000000" w:rsidRPr="001E3CFA" w:rsidP="001E3CFA">
      <w:pPr>
        <w:pStyle w:val="ListBullet"/>
      </w:pPr>
      <w:r w:rsidRPr="001E3CFA">
        <w:t>iso</w:t>
      </w:r>
      <w:r w:rsidRPr="001E3CFA">
        <w:t>metric and orthographic drawing perspectives</w:t>
      </w:r>
    </w:p>
    <w:p w:rsidR="00000000" w:rsidRPr="001E3CFA" w:rsidP="001E3CFA">
      <w:pPr>
        <w:pStyle w:val="ListBullet"/>
      </w:pPr>
      <w:r w:rsidRPr="001E3CFA">
        <w:t>drawing equipment and applications, storage and maintenance</w:t>
      </w:r>
    </w:p>
    <w:p w:rsidR="00000000" w:rsidRPr="001E3CFA" w:rsidP="001E3CFA">
      <w:pPr>
        <w:pStyle w:val="ListBullet"/>
      </w:pPr>
      <w:r w:rsidRPr="001E3CFA">
        <w:t>drawing methods</w:t>
      </w:r>
    </w:p>
    <w:p w:rsidR="00000000" w:rsidRPr="001E3CFA" w:rsidP="001E3CFA">
      <w:pPr>
        <w:pStyle w:val="ListBullet"/>
      </w:pPr>
      <w:r w:rsidRPr="001E3CFA">
        <w:t>rendering applications and techniques and tools for the creation of illustration effects</w:t>
      </w:r>
    </w:p>
    <w:p w:rsidR="00000000" w:rsidRPr="001E3CFA" w:rsidP="001E3CFA">
      <w:pPr>
        <w:pStyle w:val="ListBullet"/>
      </w:pPr>
      <w:r w:rsidRPr="001E3CFA">
        <w:t xml:space="preserve">jewellery designs, including shanks, settings </w:t>
      </w:r>
      <w:r w:rsidRPr="001E3CFA">
        <w:t>styles, shoulders, decorative finishes</w:t>
      </w:r>
    </w:p>
    <w:p w:rsidR="00000000" w:rsidRPr="001E3CFA" w:rsidP="001E3CFA">
      <w:pPr>
        <w:pStyle w:val="ListBullet"/>
      </w:pPr>
      <w:r w:rsidRPr="001E3CFA">
        <w:t>working properties of jewellery metals used in practical manufacturing applications.</w:t>
      </w:r>
    </w:p>
    <w:p w:rsidR="00000000" w:rsidRPr="001E3CFA" w:rsidP="001E3CFA">
      <w:pPr>
        <w:pStyle w:val="AllowPageBreak"/>
      </w:pPr>
    </w:p>
    <w:p w:rsidR="00000000" w:rsidRPr="001E3CFA" w:rsidP="001E3CFA">
      <w:pPr>
        <w:pStyle w:val="Heading1"/>
      </w:pPr>
      <w:bookmarkStart w:id="13" w:name="O_946377"/>
      <w:bookmarkEnd w:id="13"/>
      <w:r w:rsidRPr="001E3CFA">
        <w:t>Assessment Conditions</w:t>
      </w:r>
    </w:p>
    <w:p w:rsidR="00000000" w:rsidRPr="001E3CFA" w:rsidP="001E3CFA">
      <w:pPr>
        <w:pStyle w:val="ListBullet"/>
      </w:pPr>
      <w:r w:rsidRPr="001E3CFA">
        <w:t>Assessors must:</w:t>
      </w:r>
    </w:p>
    <w:p w:rsidR="00000000" w:rsidRPr="001E3CFA" w:rsidP="001E3CFA">
      <w:pPr>
        <w:pStyle w:val="ListBullet2"/>
      </w:pPr>
      <w:r w:rsidRPr="001E3CFA">
        <w:t>have vocational competency in preparing jewellery illustrations at least to</w:t>
      </w:r>
      <w:r w:rsidRPr="001E3CFA">
        <w:t xml:space="preserve"> the level being assessed with relevant industry knowledge and experience</w:t>
      </w:r>
    </w:p>
    <w:p w:rsidR="00000000" w:rsidRPr="001E3CFA" w:rsidP="001E3CFA">
      <w:pPr>
        <w:pStyle w:val="ListBullet2"/>
      </w:pPr>
      <w:r w:rsidRPr="001E3CFA">
        <w:t xml:space="preserve">satisfy the assessor requirements in the </w:t>
      </w:r>
      <w:r w:rsidRPr="001E3CFA">
        <w:rPr>
          <w:rStyle w:val="Emphasis"/>
        </w:rPr>
        <w:t xml:space="preserve">Standards for Registered Training Organisations 2015 </w:t>
      </w:r>
      <w:r w:rsidRPr="001E3CFA">
        <w:t>or its replacement</w:t>
      </w:r>
      <w:r w:rsidRPr="001E3CFA">
        <w:rPr>
          <w:rStyle w:val="Emphasis"/>
        </w:rPr>
        <w:t xml:space="preserve"> </w:t>
      </w:r>
      <w:r w:rsidRPr="001E3CFA">
        <w:t xml:space="preserve">and comply with the </w:t>
      </w:r>
      <w:r w:rsidRPr="001E3CFA">
        <w:rPr>
          <w:rStyle w:val="Emphasis"/>
        </w:rPr>
        <w:t>National Vocational Education and Training Regula</w:t>
      </w:r>
      <w:r w:rsidRPr="001E3CFA">
        <w:rPr>
          <w:rStyle w:val="Emphasis"/>
        </w:rPr>
        <w:t xml:space="preserve">tor Act 2011, </w:t>
      </w:r>
      <w:r w:rsidRPr="001E3CFA">
        <w:t>its replacement</w:t>
      </w:r>
      <w:r w:rsidRPr="001E3CFA">
        <w:rPr>
          <w:rStyle w:val="Emphasis"/>
        </w:rPr>
        <w:t xml:space="preserve"> </w:t>
      </w:r>
      <w:r w:rsidRPr="001E3CFA">
        <w:t>or equivalent legislation covering VET regulation in a non-referring state/territory as the case requires</w:t>
      </w:r>
    </w:p>
    <w:p w:rsidR="00000000" w:rsidRPr="001E3CFA" w:rsidP="001E3CFA">
      <w:pPr>
        <w:pStyle w:val="ListBullet"/>
      </w:pPr>
      <w:r w:rsidRPr="001E3CFA">
        <w:t xml:space="preserve">Where possible assessment must occur in operational workplace situations. Where this is not possible or where personal </w:t>
      </w:r>
      <w:r w:rsidRPr="001E3CFA">
        <w:t>safety or environmental damage are limiting factors, assessment must occur in a sufficiently rigorous simulated environment that reflects realistic operational workplace conditions. This must cover all aspects of workplace performance, including environmen</w:t>
      </w:r>
      <w:r w:rsidRPr="001E3CFA">
        <w:t>t, task skills, task management skills, contingency management skills and job role environment skills</w:t>
      </w:r>
    </w:p>
    <w:p w:rsidR="00000000" w:rsidRPr="001E3CFA" w:rsidP="001E3CFA">
      <w:pPr>
        <w:pStyle w:val="ListBullet"/>
      </w:pPr>
      <w:r w:rsidRPr="001E3CFA">
        <w:t>Conditions for assessment must include access to all tools, equipment, materials and documentation required, including relevant workplace procedures, prod</w:t>
      </w:r>
      <w:r w:rsidRPr="001E3CFA">
        <w:t>uct and manufacturing specifications</w:t>
      </w:r>
    </w:p>
    <w:p w:rsidR="00000000" w:rsidRPr="001E3CFA" w:rsidP="001E3CFA">
      <w:pPr>
        <w:pStyle w:val="ListBullet"/>
      </w:pPr>
      <w:r w:rsidRPr="001E3CFA">
        <w:t>Assessment processes and techniques must be appropriate to the language, literacy and numeracy requirements of the work being performed and the needs of the candidate.</w:t>
      </w:r>
    </w:p>
    <w:p w:rsidR="00000000" w:rsidRPr="001E3CFA" w:rsidP="001E3CFA">
      <w:pPr>
        <w:pStyle w:val="AllowPageBreak"/>
      </w:pPr>
    </w:p>
    <w:p w:rsidR="00000000" w:rsidRPr="001E3CFA" w:rsidP="001E3CFA">
      <w:pPr>
        <w:pStyle w:val="Heading1"/>
      </w:pPr>
      <w:bookmarkStart w:id="14" w:name="O_946375"/>
      <w:bookmarkEnd w:id="14"/>
      <w:r w:rsidRPr="001E3CFA">
        <w:t>Links</w:t>
      </w:r>
    </w:p>
    <w:p w:rsidR="00000000" w:rsidRPr="001E3CFA" w:rsidP="002E7AD6">
      <w:pPr>
        <w:pStyle w:val="BodyText"/>
      </w:pPr>
      <w:r w:rsidRPr="001E3C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B389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E3CFA" w:rsidP="001E3CFA"/>
    <w:sectPr w:rsidSect="001E3CF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C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CFA" w:rsidRPr="002E7AD6" w:rsidP="002E7A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C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AD6" w:rsidP="001E3C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7AD6" w:rsidP="001E3C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E7AD6" w:rsidP="001E3CF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CFA" w:rsidP="001E3C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E7AD6">
      <w:t>Approved</w:t>
    </w:r>
    <w:r w:rsidR="002E7AD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E7AD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E7AD6">
      <w:rPr>
        <w:noProof/>
      </w:rPr>
      <w:t>4</w:t>
    </w:r>
    <w:r>
      <w:rPr>
        <w:noProof/>
      </w:rPr>
      <w:fldChar w:fldCharType="end"/>
    </w:r>
  </w:p>
  <w:p w:rsidR="001E3CFA" w:rsidP="001E3C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E7AD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E7AD6">
      <w:t>Manufacturing Industry Skills Alliance</w:t>
    </w:r>
    <w:r w:rsidR="002E7AD6">
      <w:fldChar w:fldCharType="end"/>
    </w:r>
  </w:p>
  <w:p w:rsidR="001E3CFA" w:rsidP="001E3C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C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A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3CFA" w:rsidRPr="002E7AD6" w:rsidP="002E7A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C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AD6" w:rsidRPr="002D2AF8" w:rsidP="001E3C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MEM19002 Prepare jewellery illustrations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E7AD6" w:rsidP="001E3CF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CFA" w:rsidRPr="002D2AF8" w:rsidP="001E3C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E7AD6">
      <w:t>MEM19002 Prepare jewellery illustrations</w:t>
    </w:r>
    <w:r w:rsidR="002E7AD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E7AD6">
      <w:rPr>
        <w:noProof/>
      </w:rPr>
      <w:t>2 March 2025</w:t>
    </w:r>
    <w:r>
      <w:fldChar w:fldCharType="end"/>
    </w:r>
  </w:p>
  <w:p w:rsidR="001E3CFA" w:rsidP="001E3C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404A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3E50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E09B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C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3C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3C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3C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3C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3C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3C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3C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3C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3C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3C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3CFA"/>
  </w:style>
  <w:style w:type="character" w:customStyle="1" w:styleId="Heading1Char">
    <w:name w:val="Heading 1 Char"/>
    <w:basedOn w:val="DefaultParagraphFont"/>
    <w:link w:val="Heading1"/>
    <w:rsid w:val="001E3C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3C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3C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3C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3CFA"/>
    <w:rPr>
      <w:b/>
      <w:spacing w:val="0"/>
    </w:rPr>
  </w:style>
  <w:style w:type="paragraph" w:styleId="ListBullet2">
    <w:name w:val="List Bullet 2"/>
    <w:basedOn w:val="List2"/>
    <w:rsid w:val="001E3CF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E3CFA"/>
    <w:rPr>
      <w:i/>
    </w:rPr>
  </w:style>
  <w:style w:type="paragraph" w:customStyle="1" w:styleId="SuperHeading">
    <w:name w:val="SuperHeading"/>
    <w:basedOn w:val="Normal"/>
    <w:rsid w:val="001E3C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3C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3C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3C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3C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3C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3C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3C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3C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3C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3C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3C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3C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3C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3C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3C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3C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3C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3C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3C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3C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3C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3C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3C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3C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3C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3C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3C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3C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3C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3C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3C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3C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3C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3C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3C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3C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3CFA"/>
  </w:style>
  <w:style w:type="paragraph" w:styleId="TableofFigures">
    <w:name w:val="table of figures"/>
    <w:basedOn w:val="Normal"/>
    <w:next w:val="Normal"/>
    <w:semiHidden/>
    <w:rsid w:val="001E3C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3C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3CFA"/>
    <w:rPr>
      <w:rFonts w:ascii="Wingdings" w:hAnsi="Wingdings"/>
    </w:rPr>
  </w:style>
  <w:style w:type="paragraph" w:customStyle="1" w:styleId="TableHeading">
    <w:name w:val="Table Heading"/>
    <w:basedOn w:val="HeadingBase"/>
    <w:rsid w:val="001E3C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3CFA"/>
    <w:rPr>
      <w:color w:val="0033CC"/>
      <w:u w:val="none"/>
    </w:rPr>
  </w:style>
  <w:style w:type="paragraph" w:customStyle="1" w:styleId="BodyTextRight">
    <w:name w:val="Body Text Right"/>
    <w:basedOn w:val="BodyText"/>
    <w:rsid w:val="001E3C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3C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3C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3C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3C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3C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3CFA"/>
    <w:rPr>
      <w:sz w:val="32"/>
    </w:rPr>
  </w:style>
  <w:style w:type="paragraph" w:customStyle="1" w:styleId="HeadingProcedure">
    <w:name w:val="Heading Procedure"/>
    <w:basedOn w:val="HeadingBase"/>
    <w:next w:val="Normal"/>
    <w:rsid w:val="001E3C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3CFA"/>
    <w:pPr>
      <w:spacing w:before="60" w:after="60"/>
    </w:pPr>
  </w:style>
  <w:style w:type="paragraph" w:styleId="ListContinue">
    <w:name w:val="List Continue"/>
    <w:basedOn w:val="List"/>
    <w:rsid w:val="001E3CFA"/>
    <w:pPr>
      <w:ind w:firstLine="0"/>
    </w:pPr>
  </w:style>
  <w:style w:type="paragraph" w:customStyle="1" w:styleId="ListNote">
    <w:name w:val="List Note"/>
    <w:basedOn w:val="List"/>
    <w:rsid w:val="001E3C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3C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3C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3CFA"/>
    <w:rPr>
      <w:rFonts w:ascii="Courier New" w:hAnsi="Courier New"/>
    </w:rPr>
  </w:style>
  <w:style w:type="paragraph" w:customStyle="1" w:styleId="NoteBullet">
    <w:name w:val="Note Bullet"/>
    <w:basedOn w:val="Note"/>
    <w:rsid w:val="001E3C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3C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3C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3C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3C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3C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3C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3CFA"/>
    <w:rPr>
      <w:b/>
      <w:smallCaps/>
    </w:rPr>
  </w:style>
  <w:style w:type="paragraph" w:customStyle="1" w:styleId="TableListNumber">
    <w:name w:val="Table List Number"/>
    <w:basedOn w:val="ListNumber"/>
    <w:rsid w:val="001E3C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3C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3CFA"/>
    <w:pPr>
      <w:numPr>
        <w:numId w:val="9"/>
      </w:numPr>
    </w:pPr>
  </w:style>
  <w:style w:type="paragraph" w:customStyle="1" w:styleId="ListAlpha2">
    <w:name w:val="List Alpha 2"/>
    <w:basedOn w:val="List2"/>
    <w:rsid w:val="001E3CFA"/>
    <w:pPr>
      <w:numPr>
        <w:numId w:val="8"/>
      </w:numPr>
    </w:pPr>
  </w:style>
  <w:style w:type="paragraph" w:styleId="List2">
    <w:name w:val="List 2"/>
    <w:basedOn w:val="BodyText"/>
    <w:rsid w:val="001E3C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3C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3C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3C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3C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3C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3CFA"/>
    <w:pPr>
      <w:numPr>
        <w:numId w:val="4"/>
      </w:numPr>
    </w:pPr>
  </w:style>
  <w:style w:type="paragraph" w:styleId="ListContinue2">
    <w:name w:val="List Continue 2"/>
    <w:basedOn w:val="List2"/>
    <w:rsid w:val="001E3CFA"/>
    <w:pPr>
      <w:ind w:firstLine="0"/>
    </w:pPr>
  </w:style>
  <w:style w:type="paragraph" w:styleId="ListContinue3">
    <w:name w:val="List Continue 3"/>
    <w:basedOn w:val="List3"/>
    <w:rsid w:val="001E3CFA"/>
    <w:pPr>
      <w:ind w:left="1021" w:firstLine="0"/>
    </w:pPr>
  </w:style>
  <w:style w:type="paragraph" w:styleId="ListContinue4">
    <w:name w:val="List Continue 4"/>
    <w:basedOn w:val="List4"/>
    <w:rsid w:val="001E3CFA"/>
    <w:pPr>
      <w:ind w:firstLine="0"/>
    </w:pPr>
  </w:style>
  <w:style w:type="paragraph" w:styleId="ListContinue5">
    <w:name w:val="List Continue 5"/>
    <w:basedOn w:val="List5"/>
    <w:rsid w:val="001E3CFA"/>
    <w:pPr>
      <w:ind w:firstLine="0"/>
    </w:pPr>
  </w:style>
  <w:style w:type="paragraph" w:styleId="ListNumber3">
    <w:name w:val="List Number 3"/>
    <w:basedOn w:val="List3"/>
    <w:rsid w:val="001E3CFA"/>
    <w:pPr>
      <w:numPr>
        <w:numId w:val="5"/>
      </w:numPr>
    </w:pPr>
  </w:style>
  <w:style w:type="paragraph" w:styleId="ListNumber4">
    <w:name w:val="List Number 4"/>
    <w:basedOn w:val="List4"/>
    <w:rsid w:val="001E3CFA"/>
    <w:pPr>
      <w:numPr>
        <w:numId w:val="6"/>
      </w:numPr>
    </w:pPr>
  </w:style>
  <w:style w:type="paragraph" w:styleId="ListNumber5">
    <w:name w:val="List Number 5"/>
    <w:basedOn w:val="List5"/>
    <w:rsid w:val="001E3CFA"/>
    <w:pPr>
      <w:numPr>
        <w:numId w:val="7"/>
      </w:numPr>
    </w:pPr>
  </w:style>
  <w:style w:type="paragraph" w:styleId="BlockText">
    <w:name w:val="Block Text"/>
    <w:basedOn w:val="Normal"/>
    <w:rsid w:val="001E3C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3C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3CFA"/>
    <w:rPr>
      <w:sz w:val="16"/>
      <w:vertAlign w:val="superscript"/>
    </w:rPr>
  </w:style>
  <w:style w:type="character" w:customStyle="1" w:styleId="Symbols">
    <w:name w:val="Symbols"/>
    <w:basedOn w:val="DefaultParagraphFont"/>
    <w:rsid w:val="001E3CFA"/>
    <w:rPr>
      <w:rFonts w:ascii="Symbol" w:hAnsi="Symbol"/>
    </w:rPr>
  </w:style>
  <w:style w:type="character" w:customStyle="1" w:styleId="MenuOptions">
    <w:name w:val="Menu Options"/>
    <w:basedOn w:val="DefaultParagraphFont"/>
    <w:rsid w:val="001E3C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3CFA"/>
    <w:rPr>
      <w:b/>
    </w:rPr>
  </w:style>
  <w:style w:type="character" w:customStyle="1" w:styleId="Underlined">
    <w:name w:val="Underlined"/>
    <w:basedOn w:val="DefaultParagraphFont"/>
    <w:rsid w:val="001E3CFA"/>
    <w:rPr>
      <w:u w:val="single"/>
    </w:rPr>
  </w:style>
  <w:style w:type="paragraph" w:customStyle="1" w:styleId="TableBodyTextRight">
    <w:name w:val="Table Body Text Right"/>
    <w:basedOn w:val="TableBodyText"/>
    <w:rsid w:val="001E3C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3CFA"/>
    <w:rPr>
      <w:sz w:val="18"/>
    </w:rPr>
  </w:style>
  <w:style w:type="paragraph" w:customStyle="1" w:styleId="BodySmallRight">
    <w:name w:val="Body Small Right"/>
    <w:basedOn w:val="BodyTextRight"/>
    <w:rsid w:val="001E3CFA"/>
    <w:rPr>
      <w:sz w:val="18"/>
      <w:szCs w:val="18"/>
    </w:rPr>
  </w:style>
  <w:style w:type="paragraph" w:customStyle="1" w:styleId="MarginEdition">
    <w:name w:val="Margin Edition"/>
    <w:basedOn w:val="MarginNote"/>
    <w:rsid w:val="001E3C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3CFA"/>
    <w:rPr>
      <w:sz w:val="2"/>
      <w:szCs w:val="2"/>
    </w:rPr>
  </w:style>
  <w:style w:type="character" w:customStyle="1" w:styleId="Small">
    <w:name w:val="Small"/>
    <w:basedOn w:val="DefaultParagraphFont"/>
    <w:rsid w:val="001E3CFA"/>
    <w:rPr>
      <w:sz w:val="16"/>
    </w:rPr>
  </w:style>
  <w:style w:type="paragraph" w:customStyle="1" w:styleId="WideTable">
    <w:name w:val="Wide Table"/>
    <w:basedOn w:val="Normal"/>
    <w:rsid w:val="001E3C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3CFA"/>
  </w:style>
  <w:style w:type="paragraph" w:styleId="Quote">
    <w:name w:val="Quote"/>
    <w:basedOn w:val="Heading1"/>
    <w:link w:val="QuoteChar"/>
    <w:qFormat/>
    <w:rsid w:val="001E3C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3C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3CFA"/>
    <w:pPr>
      <w:pageBreakBefore/>
    </w:pPr>
  </w:style>
  <w:style w:type="paragraph" w:customStyle="1" w:styleId="Border">
    <w:name w:val="Border"/>
    <w:basedOn w:val="Normal"/>
    <w:qFormat/>
    <w:rsid w:val="001E3C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3C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3C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3C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3C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3C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3C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3C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3C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3CFA"/>
    <w:rPr>
      <w:u w:val="single"/>
    </w:rPr>
  </w:style>
  <w:style w:type="character" w:customStyle="1" w:styleId="BoldandItalics">
    <w:name w:val="Bold and Italics"/>
    <w:qFormat/>
    <w:rsid w:val="001E3CFA"/>
    <w:rPr>
      <w:b/>
      <w:i/>
      <w:u w:val="none"/>
    </w:rPr>
  </w:style>
  <w:style w:type="paragraph" w:styleId="BalloonText">
    <w:name w:val="Balloon Text"/>
    <w:basedOn w:val="Normal"/>
    <w:link w:val="BalloonTextChar"/>
    <w:rsid w:val="001E3C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3C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3C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3C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3C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3C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3CFA"/>
    <w:pPr>
      <w:spacing w:before="0" w:after="0"/>
    </w:pPr>
  </w:style>
  <w:style w:type="paragraph" w:customStyle="1" w:styleId="BodyTextBold">
    <w:name w:val="Body Text Bold"/>
    <w:basedOn w:val="BodyText"/>
    <w:qFormat/>
    <w:rsid w:val="001E3CFA"/>
    <w:rPr>
      <w:b/>
    </w:rPr>
  </w:style>
  <w:style w:type="character" w:styleId="Hyperlink">
    <w:name w:val="Hyperlink"/>
    <w:basedOn w:val="DefaultParagraphFont"/>
    <w:uiPriority w:val="99"/>
    <w:unhideWhenUsed/>
    <w:rsid w:val="002E7A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859</Words>
  <Characters>5794</Characters>
  <Application>Microsoft Office Word</Application>
  <DocSecurity>0</DocSecurity>
  <Lines>206</Lines>
  <Paragraphs>127</Paragraphs>
  <ScaleCrop>false</ScaleCrop>
  <Company>Author-it Software Corporation Ltd.</Company>
  <LinksUpToDate>false</LinksUpToDate>
  <CharactersWithSpaces>6526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MEM19002 Prepare jewellery illustrations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2025-03-01T20:42:00Z</dcterms:created>
  <dcterms:modified xsi:type="dcterms:W3CDTF">2025-03-01T20:42:00Z</dcterms:modified>
</cp:coreProperties>
</file>