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729B" w:rsidP="004072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MEM19001 Perform jewellery metal casting</w:t>
      </w:r>
      <w:r>
        <w:fldChar w:fldCharType="end"/>
      </w:r>
    </w:p>
    <w:p w:rsidR="0040729B" w:rsidP="0040729B">
      <w:pPr>
        <w:pStyle w:val="Version"/>
        <w:sectPr w:rsidSect="00C93E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3E8E" w:rsidP="00C93E8E">
      <w:pPr>
        <w:pStyle w:val="SuperHeading"/>
      </w:pPr>
      <w:r w:rsidRPr="00C93E8E">
        <w:t>MEM19001 Perform jewellery metal casting</w:t>
      </w:r>
    </w:p>
    <w:p w:rsidR="00000000" w:rsidRPr="00C93E8E" w:rsidP="00C93E8E">
      <w:pPr>
        <w:pStyle w:val="Heading1"/>
      </w:pPr>
      <w:bookmarkStart w:id="1" w:name="O_946361"/>
      <w:bookmarkEnd w:id="1"/>
      <w:r w:rsidRPr="00C93E8E">
        <w:t>Modification History</w:t>
      </w:r>
    </w:p>
    <w:p w:rsidR="00000000" w:rsidRPr="00C93E8E" w:rsidP="0040729B">
      <w:pPr>
        <w:pStyle w:val="BodyText"/>
      </w:pPr>
      <w:r w:rsidRPr="00C93E8E">
        <w:t xml:space="preserve">Release 1. Supersedes and is equivalent to MEM19001B Perform jewellery metal casting </w:t>
      </w:r>
    </w:p>
    <w:p w:rsidR="00000000" w:rsidRPr="00C93E8E" w:rsidP="00C93E8E">
      <w:pPr>
        <w:pStyle w:val="Heading1"/>
      </w:pPr>
      <w:bookmarkStart w:id="2" w:name="O_946369"/>
      <w:bookmarkEnd w:id="2"/>
      <w:r w:rsidRPr="00C93E8E">
        <w:t>Application</w:t>
      </w:r>
    </w:p>
    <w:p w:rsidR="00000000" w:rsidRPr="00C93E8E" w:rsidP="0040729B">
      <w:pPr>
        <w:pStyle w:val="BodyText"/>
      </w:pPr>
      <w:r w:rsidRPr="00C93E8E">
        <w:t>This unit of competency defines the skills and knowledge required to perform jewellery metal casting using the ‘lost wax</w:t>
      </w:r>
      <w:r w:rsidRPr="00C93E8E">
        <w:t xml:space="preserve">’ method of investment casting. </w:t>
      </w:r>
    </w:p>
    <w:p w:rsidR="00000000" w:rsidRPr="00C93E8E" w:rsidP="0040729B">
      <w:pPr>
        <w:pStyle w:val="BodyText"/>
      </w:pPr>
      <w:r w:rsidRPr="00C93E8E">
        <w:t>No licensing, legislative or certification requirements apply to this unit at the time of publication.</w:t>
      </w:r>
    </w:p>
    <w:p w:rsidR="00000000" w:rsidRPr="00C93E8E" w:rsidP="00C93E8E">
      <w:pPr>
        <w:pStyle w:val="BodyText"/>
      </w:pPr>
      <w:r w:rsidRPr="00C93E8E">
        <w:rPr>
          <w:rStyle w:val="SpecialBold"/>
        </w:rPr>
        <w:t>Band</w:t>
      </w:r>
      <w:r w:rsidRPr="00C93E8E">
        <w:t>:</w:t>
      </w:r>
      <w:r w:rsidRPr="00C93E8E">
        <w:tab/>
      </w:r>
      <w:r w:rsidRPr="00C93E8E">
        <w:rPr>
          <w:rStyle w:val="SpecialBold"/>
        </w:rPr>
        <w:t>A</w:t>
      </w:r>
    </w:p>
    <w:p w:rsidR="00000000" w:rsidRPr="00C93E8E" w:rsidP="00C93E8E">
      <w:pPr>
        <w:pStyle w:val="BodyText"/>
      </w:pPr>
      <w:r w:rsidRPr="00C93E8E">
        <w:rPr>
          <w:rStyle w:val="SpecialBold"/>
        </w:rPr>
        <w:t>Unit Weight</w:t>
      </w:r>
      <w:r w:rsidRPr="00C93E8E">
        <w:t>:</w:t>
      </w:r>
      <w:r w:rsidRPr="00C93E8E">
        <w:tab/>
      </w:r>
      <w:r w:rsidRPr="00C93E8E">
        <w:rPr>
          <w:rStyle w:val="SpecialBold"/>
        </w:rPr>
        <w:t>6</w:t>
      </w:r>
    </w:p>
    <w:p w:rsidR="00000000" w:rsidRPr="00C93E8E" w:rsidP="00C93E8E">
      <w:pPr>
        <w:pStyle w:val="AllowPageBreak"/>
      </w:pPr>
    </w:p>
    <w:p w:rsidR="00000000" w:rsidRPr="00C93E8E" w:rsidP="00C93E8E">
      <w:pPr>
        <w:pStyle w:val="Heading1"/>
      </w:pPr>
      <w:bookmarkStart w:id="3" w:name="O_946368"/>
      <w:bookmarkEnd w:id="3"/>
      <w:r w:rsidRPr="00C93E8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6618"/>
      </w:tblGrid>
      <w:tr w:rsidTr="00C93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MEM13004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Work safely with molten metals/glass</w:t>
            </w:r>
          </w:p>
        </w:tc>
      </w:tr>
      <w:tr w:rsidTr="00C93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MEM13015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Wor</w:t>
            </w:r>
            <w:r w:rsidRPr="00C93E8E">
              <w:t>k safely and effectively in manufacturing and engineering</w:t>
            </w:r>
          </w:p>
        </w:tc>
      </w:tr>
      <w:tr w:rsidTr="00C93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MEM16006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E8E" w:rsidP="00C93E8E">
            <w:pPr>
              <w:pStyle w:val="BodyText"/>
            </w:pPr>
            <w:r w:rsidRPr="00C93E8E">
              <w:t>Organise and communicate information</w:t>
            </w:r>
          </w:p>
        </w:tc>
      </w:tr>
    </w:tbl>
    <w:p w:rsidR="00000000" w:rsidRPr="00C93E8E" w:rsidP="00C93E8E">
      <w:pPr>
        <w:pStyle w:val="BodyText"/>
      </w:pPr>
    </w:p>
    <w:p w:rsidR="00000000" w:rsidRPr="00C93E8E" w:rsidP="00C93E8E">
      <w:pPr>
        <w:pStyle w:val="AllowPageBreak"/>
      </w:pPr>
    </w:p>
    <w:p w:rsidR="00000000" w:rsidRPr="00C93E8E" w:rsidP="00C93E8E">
      <w:pPr>
        <w:pStyle w:val="Heading1"/>
      </w:pPr>
      <w:bookmarkStart w:id="4" w:name="O_946367"/>
      <w:bookmarkEnd w:id="4"/>
      <w:r w:rsidRPr="00C93E8E">
        <w:t>Competency Field</w:t>
      </w:r>
    </w:p>
    <w:p w:rsidR="00000000" w:rsidRPr="00C93E8E" w:rsidP="0040729B">
      <w:pPr>
        <w:pStyle w:val="BodyText"/>
      </w:pPr>
      <w:r w:rsidRPr="00C93E8E">
        <w:t>Jewellery and horological</w:t>
      </w:r>
    </w:p>
    <w:p w:rsidR="00000000" w:rsidRPr="00C93E8E" w:rsidP="00C93E8E">
      <w:pPr>
        <w:pStyle w:val="Heading1"/>
      </w:pPr>
      <w:bookmarkStart w:id="5" w:name="O_946365"/>
      <w:bookmarkEnd w:id="5"/>
      <w:r w:rsidRPr="00C93E8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86"/>
        <w:gridCol w:w="1962"/>
        <w:gridCol w:w="770"/>
        <w:gridCol w:w="5610"/>
      </w:tblGrid>
      <w:tr w:rsidTr="00C93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Performance criteria describe the performance needed to demonstrate achievement of the element.</w:t>
            </w:r>
          </w:p>
        </w:tc>
      </w:tr>
      <w:tr w:rsidTr="00C93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E8E" w:rsidP="00C93E8E">
            <w:pPr>
              <w:pStyle w:val="BodyText"/>
            </w:pPr>
            <w:r w:rsidRPr="00C93E8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Follow standard operating procedures (SOPs)</w:t>
            </w:r>
          </w:p>
        </w:tc>
      </w:tr>
      <w:tr w:rsidTr="00C93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Comply with work health and safety (WHS) requirements at all times</w:t>
            </w:r>
          </w:p>
        </w:tc>
      </w:tr>
      <w:tr w:rsidTr="00C93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 xml:space="preserve">Use appropriate personal protective equipment (PPE) in </w:t>
            </w:r>
            <w:r w:rsidRPr="00C93E8E">
              <w:t>accordance with SOPs</w:t>
            </w:r>
          </w:p>
        </w:tc>
      </w:tr>
      <w:tr w:rsidTr="00C93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Identify job requirements from specifications, drawings, job sheets or work instructions</w:t>
            </w:r>
          </w:p>
        </w:tc>
      </w:tr>
      <w:tr w:rsidTr="00C93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</w:p>
        </w:tc>
      </w:tr>
      <w:tr w:rsidTr="00C93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E8E" w:rsidP="00C93E8E">
            <w:pPr>
              <w:pStyle w:val="BodyText"/>
            </w:pPr>
            <w:r w:rsidRPr="00C93E8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rPr>
                <w:rStyle w:val="SpecialBold"/>
              </w:rPr>
              <w:t>Prepare metals for casting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 xml:space="preserve">Select required metals and alloys </w:t>
            </w:r>
          </w:p>
        </w:tc>
      </w:tr>
      <w:tr w:rsidTr="00C93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Weigh out metals and alloys in correct wax-to-metal ratios</w:t>
            </w:r>
          </w:p>
        </w:tc>
      </w:tr>
      <w:tr w:rsidTr="00C93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Record data according to SOPs</w:t>
            </w:r>
          </w:p>
        </w:tc>
      </w:tr>
      <w:tr w:rsidTr="00C93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</w:p>
        </w:tc>
      </w:tr>
      <w:tr w:rsidTr="00C93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E8E" w:rsidP="00C93E8E">
            <w:pPr>
              <w:pStyle w:val="BodyText"/>
            </w:pPr>
            <w:r w:rsidRPr="00C93E8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rPr>
                <w:rStyle w:val="SpecialBold"/>
              </w:rPr>
              <w:t>Conduct pre-casting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Prepare equipment according to SOPs, including checking required inert gas supply, delivery and vacuum systems</w:t>
            </w:r>
          </w:p>
        </w:tc>
      </w:tr>
      <w:tr w:rsidTr="00C93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Carry out required pre-heating and glazing</w:t>
            </w:r>
          </w:p>
        </w:tc>
      </w:tr>
      <w:tr w:rsidTr="00C93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Maintain temperature of invested flask</w:t>
            </w:r>
          </w:p>
        </w:tc>
      </w:tr>
      <w:tr w:rsidTr="00C93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</w:p>
        </w:tc>
      </w:tr>
      <w:tr w:rsidTr="00C93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E8E" w:rsidP="00C93E8E">
            <w:pPr>
              <w:pStyle w:val="BodyText"/>
            </w:pPr>
            <w:r w:rsidRPr="00C93E8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rPr>
                <w:rStyle w:val="SpecialBold"/>
              </w:rPr>
              <w:t>Melt jewellery metal and cast metals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 xml:space="preserve">Apply protective coating, including borax, fluxes and inert gases to jewellery metal </w:t>
            </w:r>
          </w:p>
        </w:tc>
      </w:tr>
      <w:tr w:rsidTr="00C93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Heat jewellery metal to achieve casting temperature</w:t>
            </w:r>
          </w:p>
        </w:tc>
      </w:tr>
      <w:tr w:rsidTr="00C93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 xml:space="preserve">Position burn-out flask </w:t>
            </w:r>
          </w:p>
        </w:tc>
      </w:tr>
      <w:tr w:rsidTr="00C93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Tap molten metal, making allowance for adequate solidification time</w:t>
            </w:r>
          </w:p>
        </w:tc>
      </w:tr>
      <w:tr w:rsidTr="00C93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Operate furnace in accordance with SOPs</w:t>
            </w:r>
          </w:p>
        </w:tc>
      </w:tr>
      <w:tr w:rsidTr="00C93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</w:p>
        </w:tc>
      </w:tr>
      <w:tr w:rsidTr="00C93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E8E" w:rsidP="00C93E8E">
            <w:pPr>
              <w:pStyle w:val="BodyText"/>
            </w:pPr>
            <w:r w:rsidRPr="00C93E8E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rPr>
                <w:rStyle w:val="SpecialBold"/>
              </w:rPr>
              <w:t>Perform post-casting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Remove casting flask and store in a safe manner</w:t>
            </w:r>
          </w:p>
        </w:tc>
      </w:tr>
      <w:tr w:rsidTr="00C93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E8E" w:rsidP="00C93E8E">
            <w:pPr>
              <w:pStyle w:val="BodyText"/>
            </w:pPr>
            <w:r w:rsidRPr="00C93E8E">
              <w:t xml:space="preserve">Clean, store and dispose of casting materials and consumables </w:t>
            </w:r>
          </w:p>
        </w:tc>
      </w:tr>
    </w:tbl>
    <w:p w:rsidR="00000000" w:rsidRPr="00C93E8E" w:rsidP="00C93E8E">
      <w:pPr>
        <w:pStyle w:val="BodyText"/>
      </w:pPr>
    </w:p>
    <w:p w:rsidR="00000000" w:rsidRPr="00C93E8E" w:rsidP="00C93E8E">
      <w:pPr>
        <w:pStyle w:val="AllowPageBreak"/>
      </w:pPr>
    </w:p>
    <w:p w:rsidR="00000000" w:rsidRPr="00C93E8E" w:rsidP="00C93E8E">
      <w:pPr>
        <w:pStyle w:val="Heading1"/>
      </w:pPr>
      <w:bookmarkStart w:id="6" w:name="O_946364"/>
      <w:bookmarkEnd w:id="6"/>
      <w:r w:rsidRPr="00C93E8E">
        <w:t>Foundation Skills</w:t>
      </w:r>
    </w:p>
    <w:p w:rsidR="00000000" w:rsidRPr="00C93E8E" w:rsidP="0040729B">
      <w:pPr>
        <w:pStyle w:val="BodyText"/>
      </w:pPr>
      <w:r w:rsidRPr="00C93E8E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93E8E" w:rsidP="0040729B">
      <w:pPr>
        <w:pStyle w:val="BodyText"/>
      </w:pPr>
      <w:r w:rsidRPr="00C93E8E">
        <w:t xml:space="preserve">Foundation skills essential to performance are explicit in the performance criteria </w:t>
      </w:r>
      <w:r w:rsidRPr="00C93E8E">
        <w:t>of this unit of competency.</w:t>
      </w:r>
    </w:p>
    <w:p w:rsidR="00000000" w:rsidRPr="00C93E8E" w:rsidP="00C93E8E">
      <w:pPr>
        <w:pStyle w:val="Heading1"/>
      </w:pPr>
      <w:bookmarkStart w:id="7" w:name="O_946363"/>
      <w:bookmarkEnd w:id="7"/>
      <w:r w:rsidRPr="00C93E8E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C93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t>This field allows for different work environments and conditions that may affect performance. Essential operating conditions that may be present (depending on the work situation, needs of the</w:t>
            </w:r>
            <w:r w:rsidRPr="00C93E8E">
              <w:t xml:space="preserve"> candidate, accessibility of the item, and local industry and regional contexts) are included.</w:t>
            </w:r>
          </w:p>
        </w:tc>
      </w:tr>
      <w:tr w:rsidTr="00C93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rPr>
                <w:rStyle w:val="SpecialBold"/>
              </w:rPr>
              <w:t>Metals and alloys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E8E" w:rsidP="00C93E8E">
            <w:pPr>
              <w:pStyle w:val="ListBullet"/>
            </w:pPr>
            <w:r w:rsidRPr="00C93E8E">
              <w:t>gold</w:t>
            </w:r>
          </w:p>
          <w:p w:rsidR="00000000" w:rsidRPr="00C93E8E" w:rsidP="00C93E8E">
            <w:pPr>
              <w:pStyle w:val="ListBullet"/>
            </w:pPr>
            <w:r w:rsidRPr="00C93E8E">
              <w:t>platinum</w:t>
            </w:r>
          </w:p>
          <w:p w:rsidR="00000000" w:rsidRPr="00C93E8E" w:rsidP="00C93E8E">
            <w:pPr>
              <w:pStyle w:val="ListBullet"/>
            </w:pPr>
            <w:r w:rsidRPr="00C93E8E">
              <w:t>palladium</w:t>
            </w:r>
          </w:p>
          <w:p w:rsidR="00000000" w:rsidRPr="00C93E8E" w:rsidP="00C93E8E">
            <w:pPr>
              <w:pStyle w:val="ListBullet"/>
            </w:pPr>
            <w:r w:rsidRPr="00C93E8E">
              <w:t>silver</w:t>
            </w:r>
          </w:p>
          <w:p w:rsidR="00000000" w:rsidRPr="00C93E8E" w:rsidP="00C93E8E">
            <w:pPr>
              <w:pStyle w:val="ListBullet"/>
            </w:pPr>
            <w:r w:rsidRPr="00C93E8E">
              <w:t>copper</w:t>
            </w:r>
          </w:p>
          <w:p w:rsidR="00000000" w:rsidRPr="00C93E8E" w:rsidP="00C93E8E">
            <w:pPr>
              <w:pStyle w:val="ListBullet"/>
            </w:pPr>
            <w:r w:rsidRPr="00C93E8E">
              <w:t>their alloys</w:t>
            </w:r>
          </w:p>
          <w:p w:rsidR="00000000" w:rsidP="00C93E8E">
            <w:pPr>
              <w:pStyle w:val="BodyText"/>
              <w:rPr>
                <w:lang w:val="en-NZ"/>
              </w:rPr>
            </w:pPr>
          </w:p>
        </w:tc>
      </w:tr>
      <w:tr w:rsidTr="00C93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rPr>
                <w:rStyle w:val="SpecialBold"/>
              </w:rPr>
              <w:t>Equipment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E8E" w:rsidP="00C93E8E">
            <w:pPr>
              <w:pStyle w:val="ListBullet"/>
            </w:pPr>
            <w:r w:rsidRPr="00C93E8E">
              <w:t>resistance coils</w:t>
            </w:r>
          </w:p>
          <w:p w:rsidR="00000000" w:rsidRPr="00C93E8E" w:rsidP="00C93E8E">
            <w:pPr>
              <w:pStyle w:val="ListBullet"/>
            </w:pPr>
            <w:r w:rsidRPr="00C93E8E">
              <w:t>induction coils</w:t>
            </w:r>
          </w:p>
          <w:p w:rsidR="00000000" w:rsidRPr="00C93E8E" w:rsidP="00C93E8E">
            <w:pPr>
              <w:pStyle w:val="ListBullet"/>
            </w:pPr>
            <w:r w:rsidRPr="00C93E8E">
              <w:t>hand held torches fuelled by a variety of combinations of gas, propane, acetylene, air and oxygen</w:t>
            </w:r>
          </w:p>
          <w:p w:rsidR="00000000" w:rsidP="00C93E8E">
            <w:pPr>
              <w:pStyle w:val="BodyText"/>
              <w:rPr>
                <w:lang w:val="en-NZ"/>
              </w:rPr>
            </w:pPr>
          </w:p>
        </w:tc>
      </w:tr>
      <w:tr w:rsidTr="00C93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E8E">
            <w:pPr>
              <w:pStyle w:val="BodyText"/>
              <w:rPr>
                <w:lang w:val="en-NZ"/>
              </w:rPr>
            </w:pPr>
            <w:r w:rsidRPr="00C93E8E">
              <w:rPr>
                <w:rStyle w:val="SpecialBold"/>
              </w:rPr>
              <w:t>Protective coatings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E8E" w:rsidP="00C93E8E">
            <w:pPr>
              <w:pStyle w:val="ListBullet"/>
            </w:pPr>
            <w:r w:rsidRPr="00C93E8E">
              <w:t>borax</w:t>
            </w:r>
          </w:p>
          <w:p w:rsidR="00000000" w:rsidRPr="00C93E8E" w:rsidP="00C93E8E">
            <w:pPr>
              <w:pStyle w:val="ListBullet"/>
            </w:pPr>
            <w:r w:rsidRPr="00C93E8E">
              <w:t xml:space="preserve">fluxes </w:t>
            </w:r>
          </w:p>
          <w:p w:rsidR="00000000" w:rsidRPr="00C93E8E" w:rsidP="00C93E8E">
            <w:pPr>
              <w:pStyle w:val="ListBullet"/>
            </w:pPr>
            <w:r w:rsidRPr="00C93E8E">
              <w:t>inert gases</w:t>
            </w:r>
          </w:p>
          <w:p w:rsidR="00000000" w:rsidRPr="00C93E8E" w:rsidP="00C93E8E">
            <w:pPr>
              <w:pStyle w:val="BodyText"/>
            </w:pPr>
          </w:p>
        </w:tc>
      </w:tr>
    </w:tbl>
    <w:p w:rsidR="00000000" w:rsidRPr="00C93E8E" w:rsidP="00C93E8E">
      <w:pPr>
        <w:pStyle w:val="BodyText"/>
      </w:pPr>
    </w:p>
    <w:p w:rsidR="00000000" w:rsidRPr="00C93E8E" w:rsidP="00C93E8E">
      <w:pPr>
        <w:pStyle w:val="AllowPageBreak"/>
      </w:pPr>
    </w:p>
    <w:p w:rsidR="00000000" w:rsidRPr="00C93E8E" w:rsidP="00C93E8E">
      <w:pPr>
        <w:pStyle w:val="Heading1"/>
      </w:pPr>
      <w:bookmarkStart w:id="8" w:name="O_946362"/>
      <w:bookmarkEnd w:id="8"/>
      <w:r w:rsidRPr="00C93E8E">
        <w:t>Unit Mapping Information</w:t>
      </w:r>
    </w:p>
    <w:p w:rsidR="00000000" w:rsidRPr="00C93E8E" w:rsidP="0040729B">
      <w:pPr>
        <w:pStyle w:val="BodyText"/>
      </w:pPr>
      <w:r w:rsidRPr="00C93E8E">
        <w:t xml:space="preserve">Release 1. Supersedes and is equivalent to MEM19001B Perform jewellery metal casting </w:t>
      </w:r>
    </w:p>
    <w:p w:rsidR="00000000" w:rsidRPr="00C93E8E" w:rsidP="00C93E8E">
      <w:pPr>
        <w:pStyle w:val="Heading1"/>
      </w:pPr>
      <w:bookmarkStart w:id="9" w:name="O_946355"/>
      <w:bookmarkEnd w:id="9"/>
      <w:r w:rsidRPr="00C93E8E">
        <w:t>Links</w:t>
      </w:r>
    </w:p>
    <w:p w:rsidR="00000000" w:rsidRPr="00C93E8E" w:rsidP="0040729B">
      <w:pPr>
        <w:pStyle w:val="BodyText"/>
      </w:pPr>
      <w:r w:rsidRPr="00C93E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E467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93E8E" w:rsidP="00C93E8E"/>
    <w:sectPr w:rsidSect="00C93E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E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E8E" w:rsidRPr="0040729B" w:rsidP="004072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E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29B" w:rsidP="00C93E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729B" w:rsidP="00C93E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0729B" w:rsidP="00C93E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E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2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3E8E" w:rsidRPr="0040729B" w:rsidP="004072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E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29B" w:rsidRPr="002D2AF8" w:rsidP="00C93E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MEM19001 Perform jewellery metal casting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0729B" w:rsidP="00C93E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BE8D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1CB0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E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E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E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E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E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E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E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E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E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E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E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E8E"/>
  </w:style>
  <w:style w:type="character" w:customStyle="1" w:styleId="Heading1Char">
    <w:name w:val="Heading 1 Char"/>
    <w:basedOn w:val="DefaultParagraphFont"/>
    <w:link w:val="Heading1"/>
    <w:rsid w:val="00C93E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3E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E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3E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3E8E"/>
    <w:rPr>
      <w:b/>
      <w:spacing w:val="0"/>
    </w:rPr>
  </w:style>
  <w:style w:type="paragraph" w:customStyle="1" w:styleId="SuperHeading">
    <w:name w:val="SuperHeading"/>
    <w:basedOn w:val="Normal"/>
    <w:rsid w:val="00C93E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3E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3E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3E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E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E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E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E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E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E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E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E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E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E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E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E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E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E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E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E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3E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3E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3E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E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E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3E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3E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E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E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E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E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E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E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E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E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3E8E"/>
    <w:rPr>
      <w:i/>
    </w:rPr>
  </w:style>
  <w:style w:type="paragraph" w:styleId="Caption">
    <w:name w:val="caption"/>
    <w:basedOn w:val="BodyText"/>
    <w:next w:val="Normal"/>
    <w:qFormat/>
    <w:rsid w:val="00C93E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E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E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E8E"/>
  </w:style>
  <w:style w:type="paragraph" w:styleId="TableofFigures">
    <w:name w:val="table of figures"/>
    <w:basedOn w:val="Normal"/>
    <w:next w:val="Normal"/>
    <w:semiHidden/>
    <w:rsid w:val="00C93E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E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3E8E"/>
    <w:rPr>
      <w:rFonts w:ascii="Wingdings" w:hAnsi="Wingdings"/>
    </w:rPr>
  </w:style>
  <w:style w:type="paragraph" w:customStyle="1" w:styleId="TableHeading">
    <w:name w:val="Table Heading"/>
    <w:basedOn w:val="HeadingBase"/>
    <w:rsid w:val="00C93E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3E8E"/>
    <w:rPr>
      <w:color w:val="0033CC"/>
      <w:u w:val="none"/>
    </w:rPr>
  </w:style>
  <w:style w:type="paragraph" w:customStyle="1" w:styleId="BodyTextRight">
    <w:name w:val="Body Text Right"/>
    <w:basedOn w:val="BodyText"/>
    <w:rsid w:val="00C93E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E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E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E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E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E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E8E"/>
    <w:rPr>
      <w:sz w:val="32"/>
    </w:rPr>
  </w:style>
  <w:style w:type="paragraph" w:customStyle="1" w:styleId="HeadingProcedure">
    <w:name w:val="Heading Procedure"/>
    <w:basedOn w:val="HeadingBase"/>
    <w:next w:val="Normal"/>
    <w:rsid w:val="00C93E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E8E"/>
    <w:pPr>
      <w:spacing w:before="60" w:after="60"/>
    </w:pPr>
  </w:style>
  <w:style w:type="paragraph" w:styleId="ListContinue">
    <w:name w:val="List Continue"/>
    <w:basedOn w:val="List"/>
    <w:rsid w:val="00C93E8E"/>
    <w:pPr>
      <w:ind w:firstLine="0"/>
    </w:pPr>
  </w:style>
  <w:style w:type="paragraph" w:customStyle="1" w:styleId="ListNote">
    <w:name w:val="List Note"/>
    <w:basedOn w:val="List"/>
    <w:rsid w:val="00C93E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E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E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E8E"/>
    <w:rPr>
      <w:rFonts w:ascii="Courier New" w:hAnsi="Courier New"/>
    </w:rPr>
  </w:style>
  <w:style w:type="paragraph" w:customStyle="1" w:styleId="NoteBullet">
    <w:name w:val="Note Bullet"/>
    <w:basedOn w:val="Note"/>
    <w:rsid w:val="00C93E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E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E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E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E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3E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E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E8E"/>
    <w:rPr>
      <w:b/>
      <w:smallCaps/>
    </w:rPr>
  </w:style>
  <w:style w:type="paragraph" w:customStyle="1" w:styleId="TableListNumber">
    <w:name w:val="Table List Number"/>
    <w:basedOn w:val="ListNumber"/>
    <w:rsid w:val="00C93E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E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E8E"/>
    <w:pPr>
      <w:numPr>
        <w:numId w:val="8"/>
      </w:numPr>
    </w:pPr>
  </w:style>
  <w:style w:type="paragraph" w:customStyle="1" w:styleId="ListAlpha2">
    <w:name w:val="List Alpha 2"/>
    <w:basedOn w:val="List2"/>
    <w:rsid w:val="00C93E8E"/>
    <w:pPr>
      <w:numPr>
        <w:numId w:val="7"/>
      </w:numPr>
    </w:pPr>
  </w:style>
  <w:style w:type="paragraph" w:styleId="List2">
    <w:name w:val="List 2"/>
    <w:basedOn w:val="BodyText"/>
    <w:rsid w:val="00C93E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E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E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E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E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E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3E8E"/>
    <w:pPr>
      <w:numPr>
        <w:numId w:val="3"/>
      </w:numPr>
    </w:pPr>
  </w:style>
  <w:style w:type="paragraph" w:styleId="ListContinue2">
    <w:name w:val="List Continue 2"/>
    <w:basedOn w:val="List2"/>
    <w:rsid w:val="00C93E8E"/>
    <w:pPr>
      <w:ind w:firstLine="0"/>
    </w:pPr>
  </w:style>
  <w:style w:type="paragraph" w:styleId="ListContinue3">
    <w:name w:val="List Continue 3"/>
    <w:basedOn w:val="List3"/>
    <w:rsid w:val="00C93E8E"/>
    <w:pPr>
      <w:ind w:left="1021" w:firstLine="0"/>
    </w:pPr>
  </w:style>
  <w:style w:type="paragraph" w:styleId="ListContinue4">
    <w:name w:val="List Continue 4"/>
    <w:basedOn w:val="List4"/>
    <w:rsid w:val="00C93E8E"/>
    <w:pPr>
      <w:ind w:firstLine="0"/>
    </w:pPr>
  </w:style>
  <w:style w:type="paragraph" w:styleId="ListContinue5">
    <w:name w:val="List Continue 5"/>
    <w:basedOn w:val="List5"/>
    <w:rsid w:val="00C93E8E"/>
    <w:pPr>
      <w:ind w:firstLine="0"/>
    </w:pPr>
  </w:style>
  <w:style w:type="paragraph" w:styleId="ListNumber3">
    <w:name w:val="List Number 3"/>
    <w:basedOn w:val="List3"/>
    <w:rsid w:val="00C93E8E"/>
    <w:pPr>
      <w:numPr>
        <w:numId w:val="4"/>
      </w:numPr>
    </w:pPr>
  </w:style>
  <w:style w:type="paragraph" w:styleId="ListNumber4">
    <w:name w:val="List Number 4"/>
    <w:basedOn w:val="List4"/>
    <w:rsid w:val="00C93E8E"/>
    <w:pPr>
      <w:numPr>
        <w:numId w:val="5"/>
      </w:numPr>
    </w:pPr>
  </w:style>
  <w:style w:type="paragraph" w:styleId="ListNumber5">
    <w:name w:val="List Number 5"/>
    <w:basedOn w:val="List5"/>
    <w:rsid w:val="00C93E8E"/>
    <w:pPr>
      <w:numPr>
        <w:numId w:val="6"/>
      </w:numPr>
    </w:pPr>
  </w:style>
  <w:style w:type="paragraph" w:styleId="BlockText">
    <w:name w:val="Block Text"/>
    <w:basedOn w:val="Normal"/>
    <w:rsid w:val="00C93E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E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E8E"/>
    <w:rPr>
      <w:sz w:val="16"/>
      <w:vertAlign w:val="superscript"/>
    </w:rPr>
  </w:style>
  <w:style w:type="character" w:customStyle="1" w:styleId="Symbols">
    <w:name w:val="Symbols"/>
    <w:basedOn w:val="DefaultParagraphFont"/>
    <w:rsid w:val="00C93E8E"/>
    <w:rPr>
      <w:rFonts w:ascii="Symbol" w:hAnsi="Symbol"/>
    </w:rPr>
  </w:style>
  <w:style w:type="character" w:customStyle="1" w:styleId="MenuOptions">
    <w:name w:val="Menu Options"/>
    <w:basedOn w:val="DefaultParagraphFont"/>
    <w:rsid w:val="00C93E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E8E"/>
    <w:rPr>
      <w:b/>
    </w:rPr>
  </w:style>
  <w:style w:type="character" w:customStyle="1" w:styleId="Underlined">
    <w:name w:val="Underlined"/>
    <w:basedOn w:val="DefaultParagraphFont"/>
    <w:rsid w:val="00C93E8E"/>
    <w:rPr>
      <w:u w:val="single"/>
    </w:rPr>
  </w:style>
  <w:style w:type="paragraph" w:customStyle="1" w:styleId="TableBodyTextRight">
    <w:name w:val="Table Body Text Right"/>
    <w:basedOn w:val="TableBodyText"/>
    <w:rsid w:val="00C93E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E8E"/>
    <w:rPr>
      <w:sz w:val="18"/>
    </w:rPr>
  </w:style>
  <w:style w:type="paragraph" w:customStyle="1" w:styleId="BodySmallRight">
    <w:name w:val="Body Small Right"/>
    <w:basedOn w:val="BodyTextRight"/>
    <w:rsid w:val="00C93E8E"/>
    <w:rPr>
      <w:sz w:val="18"/>
      <w:szCs w:val="18"/>
    </w:rPr>
  </w:style>
  <w:style w:type="paragraph" w:customStyle="1" w:styleId="MarginEdition">
    <w:name w:val="Margin Edition"/>
    <w:basedOn w:val="MarginNote"/>
    <w:rsid w:val="00C93E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E8E"/>
    <w:rPr>
      <w:sz w:val="2"/>
      <w:szCs w:val="2"/>
    </w:rPr>
  </w:style>
  <w:style w:type="character" w:customStyle="1" w:styleId="Small">
    <w:name w:val="Small"/>
    <w:basedOn w:val="DefaultParagraphFont"/>
    <w:rsid w:val="00C93E8E"/>
    <w:rPr>
      <w:sz w:val="16"/>
    </w:rPr>
  </w:style>
  <w:style w:type="paragraph" w:customStyle="1" w:styleId="WideTable">
    <w:name w:val="Wide Table"/>
    <w:basedOn w:val="Normal"/>
    <w:rsid w:val="00C93E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E8E"/>
  </w:style>
  <w:style w:type="paragraph" w:styleId="Quote">
    <w:name w:val="Quote"/>
    <w:basedOn w:val="Heading1"/>
    <w:link w:val="QuoteChar"/>
    <w:qFormat/>
    <w:rsid w:val="00C93E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E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E8E"/>
    <w:pPr>
      <w:pageBreakBefore/>
    </w:pPr>
  </w:style>
  <w:style w:type="paragraph" w:customStyle="1" w:styleId="Border">
    <w:name w:val="Border"/>
    <w:basedOn w:val="Normal"/>
    <w:qFormat/>
    <w:rsid w:val="00C93E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E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E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E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E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E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E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E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E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E8E"/>
    <w:rPr>
      <w:u w:val="single"/>
    </w:rPr>
  </w:style>
  <w:style w:type="character" w:customStyle="1" w:styleId="BoldandItalics">
    <w:name w:val="Bold and Italics"/>
    <w:qFormat/>
    <w:rsid w:val="00C93E8E"/>
    <w:rPr>
      <w:b/>
      <w:i/>
      <w:u w:val="none"/>
    </w:rPr>
  </w:style>
  <w:style w:type="paragraph" w:styleId="BalloonText">
    <w:name w:val="Balloon Text"/>
    <w:basedOn w:val="Normal"/>
    <w:link w:val="BalloonTextChar"/>
    <w:rsid w:val="00C93E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E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E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E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E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E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3E8E"/>
    <w:pPr>
      <w:spacing w:before="0" w:after="0"/>
    </w:pPr>
  </w:style>
  <w:style w:type="paragraph" w:customStyle="1" w:styleId="BodyTextBold">
    <w:name w:val="Body Text Bold"/>
    <w:basedOn w:val="BodyText"/>
    <w:qFormat/>
    <w:rsid w:val="00C93E8E"/>
    <w:rPr>
      <w:b/>
    </w:rPr>
  </w:style>
  <w:style w:type="character" w:styleId="Hyperlink">
    <w:name w:val="Hyperlink"/>
    <w:basedOn w:val="DefaultParagraphFont"/>
    <w:uiPriority w:val="99"/>
    <w:unhideWhenUsed/>
    <w:rsid w:val="004072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3084</Characters>
  <Application>Microsoft Office Word</Application>
  <DocSecurity>0</DocSecurity>
  <Lines>192</Lines>
  <Paragraphs>108</Paragraphs>
  <ScaleCrop>false</ScaleCrop>
  <Company>Author-it Software Corporation Ltd.</Company>
  <LinksUpToDate>false</LinksUpToDate>
  <CharactersWithSpaces>3477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MEM19001 Perform jewellery metal casting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2023-02-03T07:36:00Z</dcterms:created>
  <dcterms:modified xsi:type="dcterms:W3CDTF">2023-02-03T07:36:00Z</dcterms:modified>
</cp:coreProperties>
</file>