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DFA" w:rsidP="00C44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MEM18109 Troubleshoot instrumentation systems and equipment</w:t>
      </w:r>
      <w:r>
        <w:fldChar w:fldCharType="end"/>
      </w:r>
    </w:p>
    <w:p w:rsidR="00C44DFA" w:rsidP="00C44DFA">
      <w:pPr>
        <w:pStyle w:val="Version"/>
        <w:sectPr w:rsidSect="003C1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1448" w:rsidP="003C1448">
      <w:pPr>
        <w:pStyle w:val="SuperHeading"/>
      </w:pPr>
      <w:r w:rsidRPr="003C1448">
        <w:t>MEM18109 Troubleshoot instrumentation systems and equipment</w:t>
      </w:r>
    </w:p>
    <w:p w:rsidR="00000000" w:rsidRPr="003C1448" w:rsidP="003C1448">
      <w:pPr>
        <w:pStyle w:val="Heading1"/>
      </w:pPr>
      <w:bookmarkStart w:id="1" w:name="O_968902"/>
      <w:bookmarkEnd w:id="1"/>
      <w:r w:rsidRPr="003C1448">
        <w:t>Modification History</w:t>
      </w:r>
    </w:p>
    <w:p w:rsidR="00000000" w:rsidRPr="003C1448" w:rsidP="00C44DFA">
      <w:pPr>
        <w:pStyle w:val="List"/>
      </w:pPr>
      <w:r w:rsidRPr="003C1448">
        <w:t>Release 2. Prerequisite units updated</w:t>
      </w:r>
    </w:p>
    <w:p w:rsidR="00000000" w:rsidRPr="003C1448" w:rsidP="00C44DFA">
      <w:pPr>
        <w:pStyle w:val="List"/>
      </w:pPr>
      <w:r w:rsidRPr="003C1448">
        <w:t>Release 1. New unit</w:t>
      </w:r>
    </w:p>
    <w:p w:rsidR="00000000" w:rsidRPr="003C1448" w:rsidP="003C1448">
      <w:pPr>
        <w:pStyle w:val="AllowPageBreak"/>
      </w:pPr>
    </w:p>
    <w:p w:rsidR="00000000" w:rsidRPr="003C1448" w:rsidP="003C1448">
      <w:pPr>
        <w:pStyle w:val="Heading1"/>
      </w:pPr>
      <w:bookmarkStart w:id="2" w:name="O_968901"/>
      <w:bookmarkEnd w:id="2"/>
      <w:r w:rsidRPr="003C1448">
        <w:t>Application</w:t>
      </w:r>
    </w:p>
    <w:p w:rsidR="00000000" w:rsidRPr="003C1448" w:rsidP="00C44DFA">
      <w:pPr>
        <w:pStyle w:val="BodyText"/>
      </w:pPr>
      <w:r w:rsidRPr="003C1448">
        <w:t>This unit has been developed for Engineering Tradesperson – industrial electrician apprenticeship training and the recognition of tr</w:t>
      </w:r>
      <w:r w:rsidRPr="003C1448">
        <w:t>ade-level skills in fault-finding and troubleshooting techniques that are instrumental in reducing instrumentation down-time.</w:t>
      </w:r>
    </w:p>
    <w:p w:rsidR="00000000" w:rsidRPr="003C1448" w:rsidP="00C44DFA">
      <w:pPr>
        <w:pStyle w:val="BodyText"/>
      </w:pPr>
      <w:r w:rsidRPr="003C1448">
        <w:t>It covers performing functional tests under normal, extreme, overload and environmental conditions using hardware and software te</w:t>
      </w:r>
      <w:r w:rsidRPr="003C1448">
        <w:t>chniques across a wide range of instrumentation systems used in an industrial environment.</w:t>
      </w:r>
    </w:p>
    <w:p w:rsidR="00000000" w:rsidRPr="003C1448" w:rsidP="00C44DFA">
      <w:pPr>
        <w:pStyle w:val="BodyText"/>
      </w:pPr>
      <w:r w:rsidRPr="003C1448">
        <w:t>No licensing, legislative or certification requirements apply to this unit at the time of publication.</w:t>
      </w:r>
    </w:p>
    <w:p w:rsidR="00000000" w:rsidRPr="003C1448" w:rsidP="003C1448">
      <w:pPr>
        <w:pStyle w:val="BodyText"/>
      </w:pPr>
      <w:r w:rsidRPr="003C1448">
        <w:rPr>
          <w:rStyle w:val="SpecialBold"/>
        </w:rPr>
        <w:t xml:space="preserve">Band: </w:t>
      </w:r>
      <w:r w:rsidRPr="003C1448">
        <w:rPr>
          <w:rStyle w:val="SpecialBold"/>
        </w:rPr>
        <w:tab/>
        <w:t>A</w:t>
      </w:r>
    </w:p>
    <w:p w:rsidR="00000000" w:rsidRPr="003C1448" w:rsidP="003C1448">
      <w:pPr>
        <w:pStyle w:val="BodyText"/>
      </w:pPr>
      <w:r w:rsidRPr="003C1448">
        <w:rPr>
          <w:rStyle w:val="SpecialBold"/>
        </w:rPr>
        <w:t>Unit Weight</w:t>
      </w:r>
      <w:r w:rsidRPr="003C1448">
        <w:t>:</w:t>
      </w:r>
      <w:r w:rsidRPr="003C1448">
        <w:tab/>
      </w:r>
      <w:r w:rsidRPr="003C1448">
        <w:rPr>
          <w:rStyle w:val="SpecialBold"/>
        </w:rPr>
        <w:t>4</w:t>
      </w:r>
    </w:p>
    <w:p w:rsidR="00000000" w:rsidRPr="003C1448" w:rsidP="003C1448">
      <w:pPr>
        <w:pStyle w:val="AllowPageBreak"/>
      </w:pPr>
    </w:p>
    <w:p w:rsidR="00000000" w:rsidRPr="003C1448" w:rsidP="003C1448">
      <w:pPr>
        <w:pStyle w:val="Heading1"/>
      </w:pPr>
      <w:bookmarkStart w:id="3" w:name="O_968900"/>
      <w:bookmarkEnd w:id="3"/>
      <w:r w:rsidRPr="003C144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3"/>
        <w:gridCol w:w="2202"/>
        <w:gridCol w:w="5947"/>
      </w:tblGrid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Path 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MEM12023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Perform engineering measurements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MEM18001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Use hand tools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MEM18104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Dismantle, replace and assemble electrical components and equipment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MEM18108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BodyText"/>
            </w:pPr>
            <w:r w:rsidRPr="003C1448">
              <w:t>Troubleshoot analog and digital electronic equipment</w:t>
            </w:r>
          </w:p>
        </w:tc>
      </w:tr>
    </w:tbl>
    <w:p w:rsidR="00000000" w:rsidRPr="003C1448" w:rsidP="003C1448">
      <w:pPr>
        <w:pStyle w:val="BodyText"/>
      </w:pPr>
    </w:p>
    <w:p w:rsidR="00000000" w:rsidRPr="003C1448" w:rsidP="003C1448">
      <w:pPr>
        <w:pStyle w:val="AllowPageBreak"/>
      </w:pPr>
    </w:p>
    <w:p w:rsidR="00000000" w:rsidRPr="003C1448" w:rsidP="003C1448">
      <w:pPr>
        <w:pStyle w:val="Heading1"/>
      </w:pPr>
      <w:bookmarkStart w:id="4" w:name="O_968899"/>
      <w:bookmarkEnd w:id="4"/>
      <w:r w:rsidRPr="003C1448">
        <w:t>Competency Field</w:t>
      </w:r>
    </w:p>
    <w:p w:rsidR="00000000" w:rsidRPr="003C1448" w:rsidP="00C44DFA">
      <w:pPr>
        <w:pStyle w:val="BodyText"/>
      </w:pPr>
      <w:r w:rsidRPr="003C1448">
        <w:t>Maintenance and diagnostics</w:t>
      </w:r>
    </w:p>
    <w:p w:rsidR="00000000" w:rsidRPr="003C1448" w:rsidP="003C1448">
      <w:pPr>
        <w:pStyle w:val="Heading1"/>
      </w:pPr>
      <w:bookmarkStart w:id="5" w:name="O_968897"/>
      <w:bookmarkEnd w:id="5"/>
      <w:r w:rsidRPr="003C14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 xml:space="preserve">Performance criteria describe the performance needed to demonstrate achievement of the element. 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Follow standard operating procedures (SOPs)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Comply with work health and safety (WHS) requirements at all times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Use appropriate personal protective equipment (PPE) in accordance with SOPs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Identify job requirements from specifications, drawings, job sheets or work instructions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Prepare to troubleshoot systems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Observe and localise device isolation methods/requirements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Apply appropriate test procedures and application principles in assessing operation of instrumentation systems and equipment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Apply normal operating characteristics of instrumentation systems and equipment to the level necessary to identify and local</w:t>
            </w:r>
            <w:r w:rsidRPr="003C1448">
              <w:t>ise faults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Apply characteristics/operational function assessment procedures according to safety and regulatory/site specifications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Check and verify characteristics and operational function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Troubleshoot systems and equipment and localise fault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Utilise manufacturer manuals, history files and maintenance and repair records as a source of information when troubleshooting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Utilise drawings/diagrams and operational specifications in identifying and localising fault conditions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Examine and interpret built-in fault indicators and error codes and record results, where appropriate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 xml:space="preserve">Conduct appropriate tests to establish fault condition to major component level using appropriate test equipment, </w:t>
            </w:r>
            <w:r w:rsidRPr="003C1448">
              <w:t xml:space="preserve">procedures and techniques 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Repair/replace faulty condition/component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Repair faulty condition using appropriate tools, equipment a</w:t>
            </w:r>
            <w:r w:rsidRPr="003C1448">
              <w:t>nd techniques to meet specifications, where applicable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Source replacement item and replace in accordance with manufacturer specifications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5.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Functionally test instrumentation equipment/components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Undertake tests on equipment/components using appropriate test equipment, procedures and techniques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Verify system/equipment to meet specifications and operational requirements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BodyText"/>
            </w:pPr>
            <w:r w:rsidRPr="003C1448">
              <w:t>Document all repairs, including results of tests carried out in accordance with SOPs</w:t>
            </w:r>
          </w:p>
        </w:tc>
      </w:tr>
    </w:tbl>
    <w:p w:rsidR="00000000" w:rsidRPr="003C1448" w:rsidP="003C1448">
      <w:pPr>
        <w:pStyle w:val="BodyText"/>
      </w:pPr>
    </w:p>
    <w:p w:rsidR="00000000" w:rsidRPr="003C1448" w:rsidP="003C1448">
      <w:pPr>
        <w:pStyle w:val="AllowPageBreak"/>
      </w:pPr>
    </w:p>
    <w:p w:rsidR="00000000" w:rsidRPr="003C1448" w:rsidP="003C1448">
      <w:pPr>
        <w:pStyle w:val="Heading1"/>
      </w:pPr>
      <w:bookmarkStart w:id="6" w:name="O_968896"/>
      <w:bookmarkEnd w:id="6"/>
      <w:r w:rsidRPr="003C1448">
        <w:t>Foundation Skills</w:t>
      </w:r>
    </w:p>
    <w:p w:rsidR="00000000" w:rsidRPr="003C1448" w:rsidP="00C44DFA">
      <w:pPr>
        <w:pStyle w:val="BodyText"/>
      </w:pPr>
      <w:r w:rsidRPr="003C1448">
        <w:t>This section describes those required skills (reading, writing, oral communication and numeracy) that are essential to workplace perfo</w:t>
      </w:r>
      <w:r w:rsidRPr="003C1448">
        <w:t>rmance in this unit of competency.</w:t>
      </w:r>
    </w:p>
    <w:p w:rsidR="00000000" w:rsidRPr="003C1448" w:rsidP="00C44DFA">
      <w:pPr>
        <w:pStyle w:val="BodyText"/>
      </w:pPr>
      <w:r w:rsidRPr="003C1448">
        <w:t>Foundation skills essential to performance are explicit in the performance criteria of this unit of competency.</w:t>
      </w:r>
    </w:p>
    <w:p w:rsidR="00000000" w:rsidRPr="003C1448" w:rsidP="003C1448">
      <w:pPr>
        <w:pStyle w:val="Heading1"/>
      </w:pPr>
      <w:bookmarkStart w:id="7" w:name="O_968895"/>
      <w:bookmarkEnd w:id="7"/>
      <w:r w:rsidRPr="003C144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t>This field allows for different work environments and conditions that m</w:t>
            </w:r>
            <w:r w:rsidRPr="003C1448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rPr>
                <w:rStyle w:val="SpecialBold"/>
              </w:rPr>
              <w:t>Tests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ListBullet"/>
            </w:pPr>
            <w:r w:rsidRPr="003C1448">
              <w:t>determining the correct operational function of electrical, electronic, mechanical, fluid power systems, equipment, components and associated items</w:t>
            </w:r>
          </w:p>
          <w:p w:rsidR="00000000" w:rsidRPr="003C1448" w:rsidP="003C1448">
            <w:pPr>
              <w:pStyle w:val="ListBullet"/>
            </w:pPr>
            <w:r w:rsidRPr="003C1448">
              <w:t>tests conducted under:</w:t>
            </w:r>
          </w:p>
          <w:p w:rsidR="00000000" w:rsidRPr="003C1448" w:rsidP="003C1448">
            <w:pPr>
              <w:pStyle w:val="ListBullet2"/>
            </w:pPr>
            <w:r w:rsidRPr="003C1448">
              <w:t>normal</w:t>
            </w:r>
          </w:p>
          <w:p w:rsidR="00000000" w:rsidRPr="003C1448" w:rsidP="003C1448">
            <w:pPr>
              <w:pStyle w:val="ListBullet2"/>
            </w:pPr>
            <w:r w:rsidRPr="003C1448">
              <w:t>extreme</w:t>
            </w:r>
          </w:p>
          <w:p w:rsidR="00000000" w:rsidRPr="003C1448" w:rsidP="003C1448">
            <w:pPr>
              <w:pStyle w:val="ListBullet2"/>
            </w:pPr>
            <w:r w:rsidRPr="003C1448">
              <w:t xml:space="preserve">overload </w:t>
            </w:r>
          </w:p>
          <w:p w:rsidR="00000000" w:rsidP="003C1448">
            <w:pPr>
              <w:pStyle w:val="ListBullet2"/>
              <w:rPr>
                <w:lang w:val="en-NZ"/>
              </w:rPr>
            </w:pPr>
            <w:r w:rsidRPr="003C1448">
              <w:t xml:space="preserve">environmental </w:t>
            </w:r>
            <w:r w:rsidRPr="003C1448">
              <w:t>conditions using hardware and software techniques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rPr>
                <w:rStyle w:val="SpecialBold"/>
              </w:rPr>
              <w:t>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ListBullet"/>
            </w:pPr>
            <w:r w:rsidRPr="003C1448">
              <w:t>process machines</w:t>
            </w:r>
          </w:p>
          <w:p w:rsidR="00000000" w:rsidRPr="003C1448" w:rsidP="003C1448">
            <w:pPr>
              <w:pStyle w:val="ListBullet"/>
            </w:pPr>
            <w:r w:rsidRPr="003C1448">
              <w:t>temperature control systems</w:t>
            </w:r>
          </w:p>
          <w:p w:rsidR="00000000" w:rsidRPr="003C1448" w:rsidP="003C1448">
            <w:pPr>
              <w:pStyle w:val="ListBullet"/>
            </w:pPr>
            <w:r w:rsidRPr="003C1448">
              <w:t>sterilisation units</w:t>
            </w:r>
          </w:p>
          <w:p w:rsidR="00000000" w:rsidRPr="003C1448" w:rsidP="003C1448">
            <w:pPr>
              <w:pStyle w:val="ListBullet"/>
            </w:pPr>
            <w:r w:rsidRPr="003C1448">
              <w:t>water cooling/filtration systems</w:t>
            </w:r>
          </w:p>
          <w:p w:rsidR="00000000" w:rsidRPr="003C1448" w:rsidP="003C1448">
            <w:pPr>
              <w:pStyle w:val="ListBullet"/>
            </w:pPr>
            <w:r w:rsidRPr="003C1448">
              <w:t>equipment utilising mechanical, pneumatic/electro-pneumatic or electronic (analog/digital) principles</w:t>
            </w:r>
          </w:p>
          <w:p w:rsidR="00000000" w:rsidP="003C1448">
            <w:pPr>
              <w:pStyle w:val="ListBullet"/>
              <w:rPr>
                <w:lang w:val="en-NZ"/>
              </w:rPr>
            </w:pPr>
            <w:r w:rsidRPr="003C1448">
              <w:t>associated instruments measuring variables, including level, pressure, light, flow, current, resistance, voltage, density and temperature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ListBullet"/>
            </w:pPr>
            <w:r w:rsidRPr="003C1448">
              <w:t>sensors</w:t>
            </w:r>
          </w:p>
          <w:p w:rsidR="00000000" w:rsidRPr="003C1448" w:rsidP="003C1448">
            <w:pPr>
              <w:pStyle w:val="ListBullet"/>
            </w:pPr>
            <w:r w:rsidRPr="003C1448">
              <w:t>transmitters</w:t>
            </w:r>
          </w:p>
          <w:p w:rsidR="00000000" w:rsidRPr="003C1448" w:rsidP="003C1448">
            <w:pPr>
              <w:pStyle w:val="ListBullet"/>
            </w:pPr>
            <w:r w:rsidRPr="003C1448">
              <w:t>converters</w:t>
            </w:r>
          </w:p>
          <w:p w:rsidR="00000000" w:rsidRPr="003C1448" w:rsidP="003C1448">
            <w:pPr>
              <w:pStyle w:val="ListBullet"/>
            </w:pPr>
            <w:r w:rsidRPr="003C1448">
              <w:t>indicators</w:t>
            </w:r>
          </w:p>
          <w:p w:rsidR="00000000" w:rsidRPr="003C1448" w:rsidP="003C1448">
            <w:pPr>
              <w:pStyle w:val="ListBullet"/>
            </w:pPr>
            <w:r w:rsidRPr="003C1448">
              <w:t>analysers</w:t>
            </w:r>
          </w:p>
          <w:p w:rsidR="00000000" w:rsidRPr="003C1448" w:rsidP="003C1448">
            <w:pPr>
              <w:pStyle w:val="ListBullet"/>
            </w:pPr>
            <w:r w:rsidRPr="003C1448">
              <w:t>controllers</w:t>
            </w:r>
          </w:p>
          <w:p w:rsidR="00000000" w:rsidRPr="003C1448" w:rsidP="003C1448">
            <w:pPr>
              <w:pStyle w:val="ListBullet"/>
            </w:pPr>
            <w:r w:rsidRPr="003C1448">
              <w:t>transducers</w:t>
            </w:r>
          </w:p>
          <w:p w:rsidR="00000000" w:rsidRPr="003C1448" w:rsidP="003C1448">
            <w:pPr>
              <w:pStyle w:val="ListBullet"/>
            </w:pPr>
            <w:r w:rsidRPr="003C1448">
              <w:t>power supplies</w:t>
            </w:r>
          </w:p>
          <w:p w:rsidR="00000000" w:rsidRPr="003C1448" w:rsidP="003C1448">
            <w:pPr>
              <w:pStyle w:val="ListBullet"/>
            </w:pPr>
            <w:r w:rsidRPr="003C1448">
              <w:t xml:space="preserve">removable circuit boards </w:t>
            </w:r>
          </w:p>
          <w:p w:rsidR="00000000" w:rsidP="003C1448">
            <w:pPr>
              <w:pStyle w:val="ListBullet"/>
              <w:rPr>
                <w:lang w:val="en-NZ"/>
              </w:rPr>
            </w:pPr>
            <w:r w:rsidRPr="003C1448">
              <w:t>sensor units associated with determining/controlling density, level, flow, temperature a</w:t>
            </w:r>
            <w:r w:rsidRPr="003C1448">
              <w:t>nd composition of a range of materials</w:t>
            </w:r>
          </w:p>
        </w:tc>
      </w:tr>
      <w:tr w:rsidTr="003C1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448">
            <w:pPr>
              <w:pStyle w:val="BodyText"/>
              <w:rPr>
                <w:lang w:val="en-NZ"/>
              </w:rPr>
            </w:pPr>
            <w:r w:rsidRPr="003C1448">
              <w:rPr>
                <w:rStyle w:val="SpecialBold"/>
              </w:rPr>
              <w:t>Test equipment</w:t>
            </w:r>
            <w:r w:rsidRPr="003C1448">
              <w:t xml:space="preserve"> </w:t>
            </w:r>
            <w:r w:rsidRPr="003C1448">
              <w:rPr>
                <w:rStyle w:val="SpecialBold"/>
              </w:rPr>
              <w:t>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448" w:rsidP="003C1448">
            <w:pPr>
              <w:pStyle w:val="ListBullet"/>
            </w:pPr>
            <w:r w:rsidRPr="003C1448">
              <w:t>system calibrators</w:t>
            </w:r>
          </w:p>
          <w:p w:rsidR="00000000" w:rsidRPr="003C1448" w:rsidP="003C1448">
            <w:pPr>
              <w:pStyle w:val="ListBullet"/>
            </w:pPr>
            <w:r w:rsidRPr="003C1448">
              <w:t>manometers</w:t>
            </w:r>
          </w:p>
          <w:p w:rsidR="00000000" w:rsidRPr="003C1448" w:rsidP="003C1448">
            <w:pPr>
              <w:pStyle w:val="ListBullet"/>
            </w:pPr>
            <w:r w:rsidRPr="003C1448">
              <w:t>dead weight testers</w:t>
            </w:r>
          </w:p>
          <w:p w:rsidR="00000000" w:rsidRPr="003C1448" w:rsidP="003C1448">
            <w:pPr>
              <w:pStyle w:val="ListBullet"/>
            </w:pPr>
            <w:r w:rsidRPr="003C1448">
              <w:t>wheatstone bridge</w:t>
            </w:r>
          </w:p>
          <w:p w:rsidR="00000000" w:rsidRPr="003C1448" w:rsidP="003C1448">
            <w:pPr>
              <w:pStyle w:val="ListBullet"/>
            </w:pPr>
            <w:r w:rsidRPr="003C1448">
              <w:t>potentiometers</w:t>
            </w:r>
          </w:p>
          <w:p w:rsidR="00000000" w:rsidRPr="003C1448" w:rsidP="003C1448">
            <w:pPr>
              <w:pStyle w:val="ListBullet"/>
            </w:pPr>
            <w:r w:rsidRPr="003C1448">
              <w:t>frequency/signal generators</w:t>
            </w:r>
          </w:p>
          <w:p w:rsidR="00000000" w:rsidRPr="003C1448" w:rsidP="003C1448">
            <w:pPr>
              <w:pStyle w:val="ListBullet"/>
            </w:pPr>
            <w:r w:rsidRPr="003C1448">
              <w:t>logic probes</w:t>
            </w:r>
          </w:p>
          <w:p w:rsidR="00000000" w:rsidRPr="003C1448" w:rsidP="003C1448">
            <w:pPr>
              <w:pStyle w:val="ListBullet"/>
            </w:pPr>
            <w:r w:rsidRPr="003C1448">
              <w:t>multimeters (analog/digital)</w:t>
            </w:r>
          </w:p>
          <w:p w:rsidR="00000000" w:rsidRPr="003C1448" w:rsidP="003C1448">
            <w:pPr>
              <w:pStyle w:val="ListBullet"/>
            </w:pPr>
            <w:r w:rsidRPr="003C1448">
              <w:t>test gauges</w:t>
            </w:r>
          </w:p>
          <w:p w:rsidR="00000000" w:rsidRPr="003C1448" w:rsidP="003C1448">
            <w:pPr>
              <w:pStyle w:val="ListBullet"/>
            </w:pPr>
            <w:r w:rsidRPr="003C1448">
              <w:t>cathode ray oscilloscopes (CROs)</w:t>
            </w:r>
          </w:p>
          <w:p w:rsidR="00000000" w:rsidRPr="003C1448" w:rsidP="003C1448">
            <w:pPr>
              <w:pStyle w:val="ListBullet"/>
            </w:pPr>
            <w:r w:rsidRPr="003C1448">
              <w:t>other associated equipment</w:t>
            </w:r>
          </w:p>
        </w:tc>
      </w:tr>
    </w:tbl>
    <w:p w:rsidR="00000000" w:rsidRPr="003C1448" w:rsidP="003C1448">
      <w:pPr>
        <w:pStyle w:val="BodyText"/>
      </w:pPr>
    </w:p>
    <w:p w:rsidR="00000000" w:rsidRPr="003C1448" w:rsidP="003C1448">
      <w:pPr>
        <w:pStyle w:val="AllowPageBreak"/>
      </w:pPr>
    </w:p>
    <w:p w:rsidR="00000000" w:rsidRPr="003C1448" w:rsidP="003C1448">
      <w:pPr>
        <w:pStyle w:val="Heading1"/>
      </w:pPr>
      <w:bookmarkStart w:id="8" w:name="O_968894"/>
      <w:bookmarkEnd w:id="8"/>
      <w:r w:rsidRPr="003C1448">
        <w:t>Unit Mapping Information</w:t>
      </w:r>
    </w:p>
    <w:p w:rsidR="00000000" w:rsidRPr="003C1448" w:rsidP="00C44DFA">
      <w:pPr>
        <w:pStyle w:val="BodyText"/>
      </w:pPr>
      <w:r w:rsidRPr="003C1448">
        <w:t>No equivalent unit</w:t>
      </w:r>
    </w:p>
    <w:p w:rsidR="00000000" w:rsidRPr="003C1448" w:rsidP="003C1448">
      <w:pPr>
        <w:pStyle w:val="Heading1"/>
      </w:pPr>
      <w:bookmarkStart w:id="9" w:name="O_968903"/>
      <w:bookmarkEnd w:id="9"/>
      <w:r w:rsidRPr="003C1448">
        <w:t>Links</w:t>
      </w:r>
    </w:p>
    <w:p w:rsidR="00000000" w:rsidRPr="003C1448" w:rsidP="00C44DFA">
      <w:pPr>
        <w:pStyle w:val="BodyText"/>
      </w:pPr>
      <w:r w:rsidRPr="003C1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43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1448" w:rsidP="003C1448"/>
    <w:sectPr w:rsidSect="003C1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48" w:rsidRPr="00C44DFA" w:rsidP="00C44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FA" w:rsidP="003C1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DFA" w:rsidP="003C1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4DFA" w:rsidP="003C1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448" w:rsidRPr="00C44DFA" w:rsidP="00C44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FA" w:rsidRPr="002D2AF8" w:rsidP="003C1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MEM18109 Troubleshoot instrumentation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4DFA" w:rsidP="003C1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5CD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7AC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AB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448"/>
  </w:style>
  <w:style w:type="character" w:customStyle="1" w:styleId="Heading1Char">
    <w:name w:val="Heading 1 Char"/>
    <w:basedOn w:val="DefaultParagraphFont"/>
    <w:link w:val="Heading1"/>
    <w:rsid w:val="003C1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4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448"/>
    <w:rPr>
      <w:b/>
      <w:spacing w:val="0"/>
    </w:rPr>
  </w:style>
  <w:style w:type="paragraph" w:styleId="ListBullet2">
    <w:name w:val="List Bullet 2"/>
    <w:basedOn w:val="List2"/>
    <w:rsid w:val="003C14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448"/>
    <w:rPr>
      <w:i/>
    </w:rPr>
  </w:style>
  <w:style w:type="paragraph" w:styleId="Caption">
    <w:name w:val="caption"/>
    <w:basedOn w:val="BodyText"/>
    <w:next w:val="Normal"/>
    <w:qFormat/>
    <w:rsid w:val="003C1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448"/>
  </w:style>
  <w:style w:type="paragraph" w:styleId="TableofFigures">
    <w:name w:val="table of figures"/>
    <w:basedOn w:val="Normal"/>
    <w:next w:val="Normal"/>
    <w:semiHidden/>
    <w:rsid w:val="003C1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448"/>
    <w:rPr>
      <w:rFonts w:ascii="Wingdings" w:hAnsi="Wingdings"/>
    </w:rPr>
  </w:style>
  <w:style w:type="paragraph" w:customStyle="1" w:styleId="TableHeading">
    <w:name w:val="Table Heading"/>
    <w:basedOn w:val="HeadingBase"/>
    <w:rsid w:val="003C1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448"/>
    <w:rPr>
      <w:color w:val="0033CC"/>
      <w:u w:val="none"/>
    </w:rPr>
  </w:style>
  <w:style w:type="paragraph" w:customStyle="1" w:styleId="BodyTextRight">
    <w:name w:val="Body Text Right"/>
    <w:basedOn w:val="BodyText"/>
    <w:rsid w:val="003C1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448"/>
    <w:rPr>
      <w:sz w:val="32"/>
    </w:rPr>
  </w:style>
  <w:style w:type="paragraph" w:customStyle="1" w:styleId="HeadingProcedure">
    <w:name w:val="Heading Procedure"/>
    <w:basedOn w:val="HeadingBase"/>
    <w:next w:val="Normal"/>
    <w:rsid w:val="003C1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448"/>
    <w:pPr>
      <w:spacing w:before="60" w:after="60"/>
    </w:pPr>
  </w:style>
  <w:style w:type="paragraph" w:styleId="ListContinue">
    <w:name w:val="List Continue"/>
    <w:basedOn w:val="List"/>
    <w:rsid w:val="003C1448"/>
    <w:pPr>
      <w:ind w:firstLine="0"/>
    </w:pPr>
  </w:style>
  <w:style w:type="paragraph" w:customStyle="1" w:styleId="ListNote">
    <w:name w:val="List Note"/>
    <w:basedOn w:val="List"/>
    <w:rsid w:val="003C1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448"/>
    <w:rPr>
      <w:rFonts w:ascii="Courier New" w:hAnsi="Courier New"/>
    </w:rPr>
  </w:style>
  <w:style w:type="paragraph" w:customStyle="1" w:styleId="NoteBullet">
    <w:name w:val="Note Bullet"/>
    <w:basedOn w:val="Note"/>
    <w:rsid w:val="003C1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448"/>
    <w:rPr>
      <w:b/>
      <w:smallCaps/>
    </w:rPr>
  </w:style>
  <w:style w:type="paragraph" w:customStyle="1" w:styleId="TableListNumber">
    <w:name w:val="Table List Number"/>
    <w:basedOn w:val="ListNumber"/>
    <w:rsid w:val="003C1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448"/>
    <w:pPr>
      <w:numPr>
        <w:numId w:val="9"/>
      </w:numPr>
    </w:pPr>
  </w:style>
  <w:style w:type="paragraph" w:customStyle="1" w:styleId="ListAlpha2">
    <w:name w:val="List Alpha 2"/>
    <w:basedOn w:val="List2"/>
    <w:rsid w:val="003C1448"/>
    <w:pPr>
      <w:numPr>
        <w:numId w:val="8"/>
      </w:numPr>
    </w:pPr>
  </w:style>
  <w:style w:type="paragraph" w:styleId="List2">
    <w:name w:val="List 2"/>
    <w:basedOn w:val="BodyText"/>
    <w:rsid w:val="003C1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448"/>
    <w:pPr>
      <w:numPr>
        <w:numId w:val="4"/>
      </w:numPr>
    </w:pPr>
  </w:style>
  <w:style w:type="paragraph" w:styleId="ListContinue2">
    <w:name w:val="List Continue 2"/>
    <w:basedOn w:val="List2"/>
    <w:rsid w:val="003C1448"/>
    <w:pPr>
      <w:ind w:firstLine="0"/>
    </w:pPr>
  </w:style>
  <w:style w:type="paragraph" w:styleId="ListContinue3">
    <w:name w:val="List Continue 3"/>
    <w:basedOn w:val="List3"/>
    <w:rsid w:val="003C1448"/>
    <w:pPr>
      <w:ind w:left="1021" w:firstLine="0"/>
    </w:pPr>
  </w:style>
  <w:style w:type="paragraph" w:styleId="ListContinue4">
    <w:name w:val="List Continue 4"/>
    <w:basedOn w:val="List4"/>
    <w:rsid w:val="003C1448"/>
    <w:pPr>
      <w:ind w:firstLine="0"/>
    </w:pPr>
  </w:style>
  <w:style w:type="paragraph" w:styleId="ListContinue5">
    <w:name w:val="List Continue 5"/>
    <w:basedOn w:val="List5"/>
    <w:rsid w:val="003C1448"/>
    <w:pPr>
      <w:ind w:firstLine="0"/>
    </w:pPr>
  </w:style>
  <w:style w:type="paragraph" w:styleId="ListNumber3">
    <w:name w:val="List Number 3"/>
    <w:basedOn w:val="List3"/>
    <w:rsid w:val="003C1448"/>
    <w:pPr>
      <w:numPr>
        <w:numId w:val="5"/>
      </w:numPr>
    </w:pPr>
  </w:style>
  <w:style w:type="paragraph" w:styleId="ListNumber4">
    <w:name w:val="List Number 4"/>
    <w:basedOn w:val="List4"/>
    <w:rsid w:val="003C1448"/>
    <w:pPr>
      <w:numPr>
        <w:numId w:val="6"/>
      </w:numPr>
    </w:pPr>
  </w:style>
  <w:style w:type="paragraph" w:styleId="ListNumber5">
    <w:name w:val="List Number 5"/>
    <w:basedOn w:val="List5"/>
    <w:rsid w:val="003C1448"/>
    <w:pPr>
      <w:numPr>
        <w:numId w:val="7"/>
      </w:numPr>
    </w:pPr>
  </w:style>
  <w:style w:type="paragraph" w:styleId="BlockText">
    <w:name w:val="Block Text"/>
    <w:basedOn w:val="Normal"/>
    <w:rsid w:val="003C1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448"/>
    <w:rPr>
      <w:sz w:val="16"/>
      <w:vertAlign w:val="superscript"/>
    </w:rPr>
  </w:style>
  <w:style w:type="character" w:customStyle="1" w:styleId="Symbols">
    <w:name w:val="Symbols"/>
    <w:basedOn w:val="DefaultParagraphFont"/>
    <w:rsid w:val="003C1448"/>
    <w:rPr>
      <w:rFonts w:ascii="Symbol" w:hAnsi="Symbol"/>
    </w:rPr>
  </w:style>
  <w:style w:type="character" w:customStyle="1" w:styleId="MenuOptions">
    <w:name w:val="Menu Options"/>
    <w:basedOn w:val="DefaultParagraphFont"/>
    <w:rsid w:val="003C1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448"/>
    <w:rPr>
      <w:b/>
    </w:rPr>
  </w:style>
  <w:style w:type="character" w:customStyle="1" w:styleId="Underlined">
    <w:name w:val="Underlined"/>
    <w:basedOn w:val="DefaultParagraphFont"/>
    <w:rsid w:val="003C1448"/>
    <w:rPr>
      <w:u w:val="single"/>
    </w:rPr>
  </w:style>
  <w:style w:type="paragraph" w:customStyle="1" w:styleId="TableBodyTextRight">
    <w:name w:val="Table Body Text Right"/>
    <w:basedOn w:val="TableBodyText"/>
    <w:rsid w:val="003C1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448"/>
    <w:rPr>
      <w:sz w:val="18"/>
    </w:rPr>
  </w:style>
  <w:style w:type="paragraph" w:customStyle="1" w:styleId="BodySmallRight">
    <w:name w:val="Body Small Right"/>
    <w:basedOn w:val="BodyTextRight"/>
    <w:rsid w:val="003C1448"/>
    <w:rPr>
      <w:sz w:val="18"/>
      <w:szCs w:val="18"/>
    </w:rPr>
  </w:style>
  <w:style w:type="paragraph" w:customStyle="1" w:styleId="MarginEdition">
    <w:name w:val="Margin Edition"/>
    <w:basedOn w:val="MarginNote"/>
    <w:rsid w:val="003C1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448"/>
    <w:rPr>
      <w:sz w:val="2"/>
      <w:szCs w:val="2"/>
    </w:rPr>
  </w:style>
  <w:style w:type="character" w:customStyle="1" w:styleId="Small">
    <w:name w:val="Small"/>
    <w:basedOn w:val="DefaultParagraphFont"/>
    <w:rsid w:val="003C1448"/>
    <w:rPr>
      <w:sz w:val="16"/>
    </w:rPr>
  </w:style>
  <w:style w:type="paragraph" w:customStyle="1" w:styleId="WideTable">
    <w:name w:val="Wide Table"/>
    <w:basedOn w:val="Normal"/>
    <w:rsid w:val="003C1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448"/>
  </w:style>
  <w:style w:type="paragraph" w:styleId="Quote">
    <w:name w:val="Quote"/>
    <w:basedOn w:val="Heading1"/>
    <w:link w:val="QuoteChar"/>
    <w:qFormat/>
    <w:rsid w:val="003C1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448"/>
    <w:pPr>
      <w:pageBreakBefore/>
    </w:pPr>
  </w:style>
  <w:style w:type="paragraph" w:customStyle="1" w:styleId="Border">
    <w:name w:val="Border"/>
    <w:basedOn w:val="Normal"/>
    <w:qFormat/>
    <w:rsid w:val="003C1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448"/>
    <w:rPr>
      <w:u w:val="single"/>
    </w:rPr>
  </w:style>
  <w:style w:type="character" w:customStyle="1" w:styleId="BoldandItalics">
    <w:name w:val="Bold and Italics"/>
    <w:qFormat/>
    <w:rsid w:val="003C1448"/>
    <w:rPr>
      <w:b/>
      <w:i/>
      <w:u w:val="none"/>
    </w:rPr>
  </w:style>
  <w:style w:type="paragraph" w:styleId="BalloonText">
    <w:name w:val="Balloon Text"/>
    <w:basedOn w:val="Normal"/>
    <w:link w:val="BalloonTextChar"/>
    <w:rsid w:val="003C1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448"/>
    <w:pPr>
      <w:spacing w:before="0" w:after="0"/>
    </w:pPr>
  </w:style>
  <w:style w:type="paragraph" w:customStyle="1" w:styleId="BodyTextBold">
    <w:name w:val="Body Text Bold"/>
    <w:basedOn w:val="BodyText"/>
    <w:qFormat/>
    <w:rsid w:val="003C1448"/>
    <w:rPr>
      <w:b/>
    </w:rPr>
  </w:style>
  <w:style w:type="character" w:styleId="Hyperlink">
    <w:name w:val="Hyperlink"/>
    <w:basedOn w:val="DefaultParagraphFont"/>
    <w:uiPriority w:val="99"/>
    <w:unhideWhenUsed/>
    <w:rsid w:val="00C44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4921</Characters>
  <Application>Microsoft Office Word</Application>
  <DocSecurity>0</DocSecurity>
  <Lines>246</Lines>
  <Paragraphs>140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MEM18109 Troubleshoot instrumentation systems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