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B3C" w:rsidP="00B05B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MEM18106 Terminate communication and data cables</w:t>
      </w:r>
      <w:r>
        <w:fldChar w:fldCharType="end"/>
      </w:r>
    </w:p>
    <w:p w:rsidR="00B05B3C" w:rsidP="00B05B3C">
      <w:pPr>
        <w:pStyle w:val="Version"/>
        <w:sectPr w:rsidSect="002F3E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3EA7" w:rsidP="002F3EA7">
      <w:pPr>
        <w:pStyle w:val="SuperHeading"/>
      </w:pPr>
      <w:r w:rsidRPr="002F3EA7">
        <w:t>MEM18106 Terminate communication and data cables</w:t>
      </w:r>
    </w:p>
    <w:p w:rsidR="00000000" w:rsidRPr="002F3EA7" w:rsidP="002F3EA7">
      <w:pPr>
        <w:pStyle w:val="Heading1"/>
      </w:pPr>
      <w:bookmarkStart w:id="1" w:name="O_968866"/>
      <w:bookmarkEnd w:id="1"/>
      <w:r w:rsidRPr="002F3EA7">
        <w:t>Modification History</w:t>
      </w:r>
    </w:p>
    <w:p w:rsidR="00000000" w:rsidRPr="002F3EA7" w:rsidP="00B05B3C">
      <w:pPr>
        <w:pStyle w:val="List"/>
      </w:pPr>
      <w:r w:rsidRPr="002F3EA7">
        <w:t>Release 2. Prerequisite units updated</w:t>
      </w:r>
    </w:p>
    <w:p w:rsidR="00000000" w:rsidRPr="002F3EA7" w:rsidP="00B05B3C">
      <w:pPr>
        <w:pStyle w:val="List"/>
      </w:pPr>
      <w:r w:rsidRPr="002F3EA7">
        <w:t>Release 1. New unit</w:t>
      </w:r>
    </w:p>
    <w:p w:rsidR="00000000" w:rsidRPr="002F3EA7" w:rsidP="002F3EA7">
      <w:pPr>
        <w:pStyle w:val="AllowPageBreak"/>
      </w:pPr>
    </w:p>
    <w:p w:rsidR="00000000" w:rsidRPr="002F3EA7" w:rsidP="002F3EA7">
      <w:pPr>
        <w:pStyle w:val="Heading1"/>
      </w:pPr>
      <w:bookmarkStart w:id="2" w:name="O_968865"/>
      <w:bookmarkEnd w:id="2"/>
      <w:r w:rsidRPr="002F3EA7">
        <w:t>Application</w:t>
      </w:r>
    </w:p>
    <w:p w:rsidR="00000000" w:rsidRPr="002F3EA7" w:rsidP="00B05B3C">
      <w:pPr>
        <w:pStyle w:val="BodyText"/>
      </w:pPr>
      <w:r w:rsidRPr="002F3EA7">
        <w:t>This unit has been developed for Engineering Tradesperson – industrial electrician apprenticeship training and the recognition of trade-leve</w:t>
      </w:r>
      <w:r w:rsidRPr="002F3EA7">
        <w:t>l skills in terminating all types of communication and data cables in accordance with the relevant legislative requirements and statutory regulations.</w:t>
      </w:r>
    </w:p>
    <w:p w:rsidR="00000000" w:rsidRPr="002F3EA7" w:rsidP="00B05B3C">
      <w:pPr>
        <w:pStyle w:val="BodyText"/>
      </w:pPr>
      <w:r w:rsidRPr="002F3EA7">
        <w:t>Some jurisdictions require the holder of this unit to be licensed or certified and users should check wi</w:t>
      </w:r>
      <w:r w:rsidRPr="002F3EA7">
        <w:t>th the relevant authorities.</w:t>
      </w:r>
    </w:p>
    <w:p w:rsidR="00000000" w:rsidRPr="002F3EA7" w:rsidP="002F3EA7">
      <w:pPr>
        <w:pStyle w:val="BodyText"/>
      </w:pPr>
      <w:r w:rsidRPr="002F3EA7">
        <w:rPr>
          <w:rStyle w:val="SpecialBold"/>
        </w:rPr>
        <w:t>Band</w:t>
      </w:r>
      <w:r w:rsidRPr="002F3EA7">
        <w:t>:</w:t>
      </w:r>
      <w:r w:rsidRPr="002F3EA7">
        <w:tab/>
      </w:r>
      <w:r w:rsidRPr="002F3EA7">
        <w:rPr>
          <w:rStyle w:val="SpecialBold"/>
        </w:rPr>
        <w:t>A</w:t>
      </w:r>
    </w:p>
    <w:p w:rsidR="00000000" w:rsidRPr="002F3EA7" w:rsidP="002F3EA7">
      <w:pPr>
        <w:pStyle w:val="BodyText"/>
      </w:pPr>
      <w:r w:rsidRPr="002F3EA7">
        <w:rPr>
          <w:rStyle w:val="SpecialBold"/>
        </w:rPr>
        <w:t>Unit Weight</w:t>
      </w:r>
      <w:r w:rsidRPr="002F3EA7">
        <w:t>:</w:t>
      </w:r>
      <w:r w:rsidRPr="002F3EA7">
        <w:tab/>
      </w:r>
      <w:r w:rsidRPr="002F3EA7">
        <w:rPr>
          <w:rStyle w:val="SpecialBold"/>
        </w:rPr>
        <w:t>4</w:t>
      </w:r>
    </w:p>
    <w:p w:rsidR="00000000" w:rsidRPr="002F3EA7" w:rsidP="002F3EA7">
      <w:pPr>
        <w:pStyle w:val="AllowPageBreak"/>
      </w:pPr>
    </w:p>
    <w:p w:rsidR="00000000" w:rsidRPr="002F3EA7" w:rsidP="002F3EA7">
      <w:pPr>
        <w:pStyle w:val="Heading1"/>
      </w:pPr>
      <w:bookmarkStart w:id="3" w:name="O_968864"/>
      <w:bookmarkEnd w:id="3"/>
      <w:r w:rsidRPr="002F3EA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44"/>
        <w:gridCol w:w="2105"/>
        <w:gridCol w:w="6093"/>
      </w:tblGrid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Path 1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MEM05001</w:t>
            </w:r>
          </w:p>
        </w:tc>
        <w:tc>
          <w:tcPr>
            <w:tcW w:w="6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Perform manual soldering/desoldering – electrical/electronic components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MEM12023</w:t>
            </w:r>
          </w:p>
        </w:tc>
        <w:tc>
          <w:tcPr>
            <w:tcW w:w="6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Perform engineering measurements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MEM18001</w:t>
            </w:r>
          </w:p>
        </w:tc>
        <w:tc>
          <w:tcPr>
            <w:tcW w:w="6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EA7" w:rsidP="002F3EA7">
            <w:pPr>
              <w:pStyle w:val="BodyText"/>
            </w:pPr>
            <w:r w:rsidRPr="002F3EA7">
              <w:t>Use hand tools</w:t>
            </w:r>
          </w:p>
        </w:tc>
      </w:tr>
    </w:tbl>
    <w:p w:rsidR="00000000" w:rsidRPr="002F3EA7" w:rsidP="002F3EA7">
      <w:pPr>
        <w:pStyle w:val="BodyText"/>
      </w:pPr>
    </w:p>
    <w:p w:rsidR="00000000" w:rsidRPr="002F3EA7" w:rsidP="002F3EA7">
      <w:pPr>
        <w:pStyle w:val="AllowPageBreak"/>
      </w:pPr>
    </w:p>
    <w:p w:rsidR="00000000" w:rsidRPr="002F3EA7" w:rsidP="002F3EA7">
      <w:pPr>
        <w:pStyle w:val="Heading1"/>
      </w:pPr>
      <w:bookmarkStart w:id="4" w:name="O_968863"/>
      <w:bookmarkEnd w:id="4"/>
      <w:r w:rsidRPr="002F3EA7">
        <w:t>Competency Field</w:t>
      </w:r>
    </w:p>
    <w:p w:rsidR="00000000" w:rsidRPr="002F3EA7" w:rsidP="00B05B3C">
      <w:pPr>
        <w:pStyle w:val="BodyText"/>
      </w:pPr>
      <w:r w:rsidRPr="002F3EA7">
        <w:t>Maintenance and diagnostics</w:t>
      </w:r>
    </w:p>
    <w:p w:rsidR="00000000" w:rsidRPr="002F3EA7" w:rsidP="002F3EA7">
      <w:pPr>
        <w:pStyle w:val="Heading1"/>
      </w:pPr>
      <w:bookmarkStart w:id="5" w:name="O_968861"/>
      <w:bookmarkEnd w:id="5"/>
      <w:r w:rsidRPr="002F3E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 xml:space="preserve">Performance criteria describe the performance needed to demonstrate achievement of the element. 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 xml:space="preserve">Determine job </w:t>
            </w:r>
            <w:r w:rsidRPr="002F3EA7"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Follow standard operating procedures (SOPs)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Comply with work health and safety (WHS) requirements at all times, including appropriate risk control measures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Use appropriate personal protective equipment (PPE) in accordance with SOPs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Identify job requirements from specifications, drawings, job sheets or work instructions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Identify and mark conductors/cables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Identify cables and conductors using appropriate test equipment and techniques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Label cables and conductors in accordance with procedures, legislative requirements and statutory regulations to specifications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Prepare and terminate cable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Obtain termination requirements and specifications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 xml:space="preserve">Maintain the minimum bend radius of the cable in accordance with specifications when cutting cable to required length 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Prepare cable ends to specifications, legislative requirements and statutory regulations utilising appropriate tools and techniques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Terminate cables according to specifications using appropriate tools and techniques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 xml:space="preserve">Test/examine terminations </w:t>
            </w:r>
            <w:r w:rsidRPr="002F3EA7">
              <w:t xml:space="preserve">for compliance with specifications 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4.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Fix/secure cables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Fix/secure cables utilising appropriate fixing/securing techniques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EA7" w:rsidP="002F3EA7">
            <w:pPr>
              <w:pStyle w:val="BodyText"/>
            </w:pPr>
            <w:r w:rsidRPr="002F3EA7">
              <w:t xml:space="preserve">Use the proper cable management hardware to support the in-place cables and relieve tension </w:t>
            </w:r>
          </w:p>
        </w:tc>
      </w:tr>
    </w:tbl>
    <w:p w:rsidR="00000000" w:rsidRPr="002F3EA7" w:rsidP="002F3EA7">
      <w:pPr>
        <w:pStyle w:val="BodyText"/>
      </w:pPr>
    </w:p>
    <w:p w:rsidR="00000000" w:rsidRPr="002F3EA7" w:rsidP="002F3EA7">
      <w:pPr>
        <w:pStyle w:val="AllowPageBreak"/>
      </w:pPr>
    </w:p>
    <w:p w:rsidR="00000000" w:rsidRPr="002F3EA7" w:rsidP="002F3EA7">
      <w:pPr>
        <w:pStyle w:val="Heading1"/>
      </w:pPr>
      <w:bookmarkStart w:id="6" w:name="O_968860"/>
      <w:bookmarkEnd w:id="6"/>
      <w:r w:rsidRPr="002F3EA7">
        <w:t>Foundation Skills</w:t>
      </w:r>
    </w:p>
    <w:p w:rsidR="00000000" w:rsidRPr="002F3EA7" w:rsidP="00B05B3C">
      <w:pPr>
        <w:pStyle w:val="BodyText"/>
      </w:pPr>
      <w:r w:rsidRPr="002F3EA7">
        <w:t>This section describes those required skills (reading, writing, oral communication and numeracy) that are essential to workplace performance in this unit of competency.</w:t>
      </w:r>
    </w:p>
    <w:p w:rsidR="00000000" w:rsidRPr="002F3EA7" w:rsidP="00B05B3C">
      <w:pPr>
        <w:pStyle w:val="BodyText"/>
      </w:pPr>
      <w:r w:rsidRPr="002F3EA7">
        <w:t>Foundation skills essential to performance are explicit in the perfo</w:t>
      </w:r>
      <w:r w:rsidRPr="002F3EA7">
        <w:t>rmance criteria of this unit of competency.</w:t>
      </w:r>
    </w:p>
    <w:p w:rsidR="00000000" w:rsidRPr="002F3EA7" w:rsidP="002F3EA7">
      <w:pPr>
        <w:pStyle w:val="Heading1"/>
      </w:pPr>
      <w:bookmarkStart w:id="7" w:name="O_968859"/>
      <w:bookmarkEnd w:id="7"/>
      <w:r w:rsidRPr="002F3EA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t>This field allows for different work environments and conditions that may affect performance. Essential operating conditions that may be present (depending on the work situati</w:t>
            </w:r>
            <w:r w:rsidRPr="002F3EA7">
              <w:t>on, needs of the candidate, accessibility of the item, and local industry and regional contexts) are included.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rPr>
                <w:rStyle w:val="SpecialBold"/>
              </w:rPr>
              <w:t>Legislative requirements and statutory regulations include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EA7" w:rsidP="002F3EA7">
            <w:pPr>
              <w:pStyle w:val="ListBullet"/>
            </w:pPr>
            <w:r w:rsidRPr="002F3EA7">
              <w:t>ACA Technical Standards AS/ACIF008, AS/ACIF009</w:t>
            </w:r>
          </w:p>
          <w:p w:rsidR="00000000" w:rsidRPr="002F3EA7" w:rsidP="002F3EA7">
            <w:pPr>
              <w:pStyle w:val="ListBullet"/>
            </w:pPr>
            <w:r w:rsidRPr="002F3EA7">
              <w:t>SAA Communications Cabling Manual (Open)</w:t>
            </w:r>
          </w:p>
          <w:p w:rsidR="00000000" w:rsidRPr="002F3EA7" w:rsidP="002F3EA7">
            <w:pPr>
              <w:pStyle w:val="ListBullet"/>
            </w:pPr>
            <w:r w:rsidRPr="002F3EA7">
              <w:t>AS/NZS 3000:2007 Electrical installations (known as the Australian/New Zealand Wiring Rules)</w:t>
            </w:r>
          </w:p>
          <w:p w:rsidR="00000000" w:rsidP="002F3EA7">
            <w:pPr>
              <w:pStyle w:val="ListBullet"/>
              <w:rPr>
                <w:lang w:val="en-NZ"/>
              </w:rPr>
            </w:pPr>
            <w:r w:rsidRPr="002F3EA7">
              <w:t>Telecommunications Act 1997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rPr>
                <w:rStyle w:val="SpecialBold"/>
              </w:rPr>
              <w:t>Types of cables include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EA7" w:rsidP="002F3EA7">
            <w:pPr>
              <w:pStyle w:val="ListBullet"/>
            </w:pPr>
            <w:r w:rsidRPr="002F3EA7">
              <w:t>thermocouple/compensator cables, inclu</w:t>
            </w:r>
            <w:r w:rsidRPr="002F3EA7">
              <w:t>ding mineral-insulated metal sheath (MIMS)</w:t>
            </w:r>
          </w:p>
          <w:p w:rsidR="00000000" w:rsidRPr="002F3EA7" w:rsidP="002F3EA7">
            <w:pPr>
              <w:pStyle w:val="ListBullet"/>
            </w:pPr>
            <w:r w:rsidRPr="002F3EA7">
              <w:t>transmission cables</w:t>
            </w:r>
          </w:p>
          <w:p w:rsidR="00000000" w:rsidRPr="002F3EA7" w:rsidP="002F3EA7">
            <w:pPr>
              <w:pStyle w:val="ListBullet"/>
            </w:pPr>
            <w:r w:rsidRPr="002F3EA7">
              <w:t>thermoplastic/elastomer insulated/sheathed</w:t>
            </w:r>
          </w:p>
          <w:p w:rsidR="00000000" w:rsidRPr="002F3EA7" w:rsidP="002F3EA7">
            <w:pPr>
              <w:pStyle w:val="ListBullet"/>
            </w:pPr>
            <w:r w:rsidRPr="002F3EA7">
              <w:t>compensating cables</w:t>
            </w:r>
          </w:p>
          <w:p w:rsidR="00000000" w:rsidRPr="002F3EA7" w:rsidP="002F3EA7">
            <w:pPr>
              <w:pStyle w:val="ListBullet"/>
            </w:pPr>
            <w:r w:rsidRPr="002F3EA7">
              <w:t>coaxial</w:t>
            </w:r>
          </w:p>
          <w:p w:rsidR="00000000" w:rsidRPr="002F3EA7" w:rsidP="002F3EA7">
            <w:pPr>
              <w:pStyle w:val="ListBullet"/>
            </w:pPr>
            <w:r w:rsidRPr="002F3EA7">
              <w:t>telephone</w:t>
            </w:r>
          </w:p>
          <w:p w:rsidR="00000000" w:rsidRPr="002F3EA7" w:rsidP="002F3EA7">
            <w:pPr>
              <w:pStyle w:val="ListBullet"/>
            </w:pPr>
            <w:r w:rsidRPr="002F3EA7">
              <w:t>category 5</w:t>
            </w:r>
          </w:p>
          <w:p w:rsidR="00000000" w:rsidRPr="002F3EA7" w:rsidP="002F3EA7">
            <w:pPr>
              <w:pStyle w:val="ListBullet"/>
            </w:pPr>
            <w:r w:rsidRPr="002F3EA7">
              <w:t>optical fibre</w:t>
            </w:r>
          </w:p>
          <w:p w:rsidR="00000000" w:rsidP="002F3EA7">
            <w:pPr>
              <w:pStyle w:val="ListBullet"/>
              <w:rPr>
                <w:lang w:val="en-NZ"/>
              </w:rPr>
            </w:pPr>
            <w:r w:rsidRPr="002F3EA7">
              <w:t>extra-low voltage (ELV) control cables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rPr>
                <w:rStyle w:val="SpecialBold"/>
              </w:rPr>
              <w:t>Minimum bend radius includes: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EA7" w:rsidP="002F3EA7">
            <w:pPr>
              <w:pStyle w:val="BodyText"/>
            </w:pPr>
            <w:r w:rsidRPr="002F3EA7">
              <w:t>Bend radius according to manufacturer specifications, including:</w:t>
            </w:r>
          </w:p>
          <w:p w:rsidR="00000000" w:rsidRPr="002F3EA7" w:rsidP="002F3EA7">
            <w:pPr>
              <w:pStyle w:val="ListBullet"/>
            </w:pPr>
            <w:r w:rsidRPr="002F3EA7">
              <w:t>4 times the cable diameter for unshielded twisted pair (UTP) and screened twisted pair (ScTP) cables</w:t>
            </w:r>
          </w:p>
          <w:p w:rsidR="00000000" w:rsidP="002F3EA7">
            <w:pPr>
              <w:pStyle w:val="ListBullet"/>
              <w:rPr>
                <w:lang w:val="en-NZ"/>
              </w:rPr>
            </w:pPr>
            <w:r w:rsidRPr="002F3EA7">
              <w:t>10 times the cable diameter for optical fibre cable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rPr>
                <w:rStyle w:val="SpecialBold"/>
              </w:rPr>
              <w:t>Tools include one or more of the fol</w:t>
            </w:r>
            <w:r w:rsidRPr="002F3EA7">
              <w:rPr>
                <w:rStyle w:val="SpecialBold"/>
              </w:rPr>
              <w:t>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EA7" w:rsidP="002F3EA7">
            <w:pPr>
              <w:pStyle w:val="ListBullet"/>
            </w:pPr>
            <w:r w:rsidRPr="002F3EA7">
              <w:t>krone tool</w:t>
            </w:r>
          </w:p>
          <w:p w:rsidR="00000000" w:rsidRPr="002F3EA7" w:rsidP="002F3EA7">
            <w:pPr>
              <w:pStyle w:val="ListBullet"/>
            </w:pPr>
            <w:r w:rsidRPr="002F3EA7">
              <w:t>cable strippers</w:t>
            </w:r>
          </w:p>
          <w:p w:rsidR="00000000" w:rsidRPr="002F3EA7" w:rsidP="002F3EA7">
            <w:pPr>
              <w:pStyle w:val="ListBullet"/>
            </w:pPr>
            <w:r w:rsidRPr="002F3EA7">
              <w:t>crimping tools, e.g. RJ45 crimping tool</w:t>
            </w:r>
          </w:p>
          <w:p w:rsidR="00000000" w:rsidRPr="002F3EA7" w:rsidP="002F3EA7">
            <w:pPr>
              <w:pStyle w:val="ListBullet"/>
            </w:pPr>
            <w:r w:rsidRPr="002F3EA7">
              <w:t>slitter tool</w:t>
            </w:r>
          </w:p>
          <w:p w:rsidR="00000000" w:rsidP="002F3EA7">
            <w:pPr>
              <w:pStyle w:val="ListBullet"/>
              <w:rPr>
                <w:lang w:val="en-NZ"/>
              </w:rPr>
            </w:pPr>
            <w:r w:rsidRPr="002F3EA7">
              <w:t>pliers</w:t>
            </w:r>
          </w:p>
        </w:tc>
      </w:tr>
      <w:tr w:rsidTr="002F3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A7">
            <w:pPr>
              <w:pStyle w:val="BodyText"/>
              <w:rPr>
                <w:lang w:val="en-NZ"/>
              </w:rPr>
            </w:pPr>
            <w:r w:rsidRPr="002F3EA7">
              <w:rPr>
                <w:rStyle w:val="SpecialBold"/>
              </w:rPr>
              <w:t>Terminations include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EA7" w:rsidP="002F3EA7">
            <w:pPr>
              <w:pStyle w:val="ListBullet"/>
            </w:pPr>
            <w:r w:rsidRPr="002F3EA7">
              <w:t>crimp</w:t>
            </w:r>
          </w:p>
          <w:p w:rsidR="00000000" w:rsidRPr="002F3EA7" w:rsidP="002F3EA7">
            <w:pPr>
              <w:pStyle w:val="ListBullet"/>
            </w:pPr>
            <w:r w:rsidRPr="002F3EA7">
              <w:t>wire wrap (non-insulated and pre-insulated)</w:t>
            </w:r>
          </w:p>
          <w:p w:rsidR="00000000" w:rsidRPr="002F3EA7" w:rsidP="002F3EA7">
            <w:pPr>
              <w:pStyle w:val="ListBullet"/>
            </w:pPr>
            <w:r w:rsidRPr="002F3EA7">
              <w:t>solder</w:t>
            </w:r>
          </w:p>
          <w:p w:rsidR="00000000" w:rsidRPr="002F3EA7" w:rsidP="002F3EA7">
            <w:pPr>
              <w:pStyle w:val="ListBullet"/>
            </w:pPr>
            <w:r w:rsidRPr="002F3EA7">
              <w:t>connectors</w:t>
            </w:r>
          </w:p>
          <w:p w:rsidR="00000000" w:rsidRPr="002F3EA7" w:rsidP="002F3EA7">
            <w:pPr>
              <w:pStyle w:val="ListBullet"/>
            </w:pPr>
            <w:r w:rsidRPr="002F3EA7">
              <w:t>multi-terminal plugs and sockets</w:t>
            </w:r>
          </w:p>
          <w:p w:rsidR="00000000" w:rsidRPr="002F3EA7" w:rsidP="002F3EA7">
            <w:pPr>
              <w:pStyle w:val="ListBullet"/>
            </w:pPr>
            <w:r w:rsidRPr="002F3EA7">
              <w:t>fibre optics</w:t>
            </w:r>
          </w:p>
          <w:p w:rsidR="00000000" w:rsidRPr="002F3EA7" w:rsidP="002F3EA7">
            <w:pPr>
              <w:pStyle w:val="ListBullet"/>
            </w:pPr>
            <w:r w:rsidRPr="002F3EA7">
              <w:t>coaxial</w:t>
            </w:r>
          </w:p>
          <w:p w:rsidR="00000000" w:rsidRPr="002F3EA7" w:rsidP="002F3EA7">
            <w:pPr>
              <w:pStyle w:val="ListBullet"/>
            </w:pPr>
            <w:r w:rsidRPr="002F3EA7">
              <w:t>terminal blocks</w:t>
            </w:r>
          </w:p>
          <w:p w:rsidR="00000000" w:rsidRPr="002F3EA7" w:rsidP="002F3EA7">
            <w:pPr>
              <w:pStyle w:val="ListBullet"/>
            </w:pPr>
            <w:r w:rsidRPr="002F3EA7">
              <w:t>punch-down connections</w:t>
            </w:r>
          </w:p>
        </w:tc>
      </w:tr>
    </w:tbl>
    <w:p w:rsidR="00000000" w:rsidRPr="002F3EA7" w:rsidP="002F3EA7">
      <w:pPr>
        <w:pStyle w:val="BodyText"/>
      </w:pPr>
    </w:p>
    <w:p w:rsidR="00000000" w:rsidRPr="002F3EA7" w:rsidP="002F3EA7">
      <w:pPr>
        <w:pStyle w:val="AllowPageBreak"/>
      </w:pPr>
    </w:p>
    <w:p w:rsidR="00000000" w:rsidRPr="002F3EA7" w:rsidP="002F3EA7">
      <w:pPr>
        <w:pStyle w:val="Heading1"/>
      </w:pPr>
      <w:bookmarkStart w:id="8" w:name="O_968858"/>
      <w:bookmarkEnd w:id="8"/>
      <w:r w:rsidRPr="002F3EA7">
        <w:t>Unit Mapping Information</w:t>
      </w:r>
    </w:p>
    <w:p w:rsidR="00000000" w:rsidRPr="002F3EA7" w:rsidP="00B05B3C">
      <w:pPr>
        <w:pStyle w:val="BodyText"/>
      </w:pPr>
      <w:r w:rsidRPr="002F3EA7">
        <w:t>No equivalent unit</w:t>
      </w:r>
    </w:p>
    <w:p w:rsidR="00000000" w:rsidRPr="002F3EA7" w:rsidP="002F3EA7">
      <w:pPr>
        <w:pStyle w:val="Heading1"/>
      </w:pPr>
      <w:bookmarkStart w:id="9" w:name="O_968867"/>
      <w:bookmarkEnd w:id="9"/>
      <w:r w:rsidRPr="002F3EA7">
        <w:t>Links</w:t>
      </w:r>
    </w:p>
    <w:p w:rsidR="00000000" w:rsidRPr="002F3EA7" w:rsidP="00B05B3C">
      <w:pPr>
        <w:pStyle w:val="BodyText"/>
      </w:pPr>
      <w:r w:rsidRPr="002F3E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D5F0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F3EA7" w:rsidP="002F3EA7"/>
    <w:sectPr w:rsidSect="002F3E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A7" w:rsidRPr="00B05B3C" w:rsidP="00B05B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3C" w:rsidP="002F3E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5B3C" w:rsidP="002F3E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5B3C" w:rsidP="002F3E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EA7" w:rsidRPr="00B05B3C" w:rsidP="00B05B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3C" w:rsidRPr="002D2AF8" w:rsidP="002F3E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MEM18106 Terminate communication and data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05B3C" w:rsidP="002F3E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1C7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3C58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E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E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E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E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E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E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E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E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E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E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E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EA7"/>
  </w:style>
  <w:style w:type="character" w:customStyle="1" w:styleId="Heading1Char">
    <w:name w:val="Heading 1 Char"/>
    <w:basedOn w:val="DefaultParagraphFont"/>
    <w:link w:val="Heading1"/>
    <w:rsid w:val="002F3E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E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E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3E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3EA7"/>
    <w:rPr>
      <w:b/>
      <w:spacing w:val="0"/>
    </w:rPr>
  </w:style>
  <w:style w:type="paragraph" w:customStyle="1" w:styleId="SuperHeading">
    <w:name w:val="SuperHeading"/>
    <w:basedOn w:val="Normal"/>
    <w:rsid w:val="002F3E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E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E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E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E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E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E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E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E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E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E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E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E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E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E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E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E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3E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E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E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E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E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E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E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E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E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E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E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E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E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E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3EA7"/>
    <w:rPr>
      <w:i/>
    </w:rPr>
  </w:style>
  <w:style w:type="paragraph" w:styleId="Caption">
    <w:name w:val="caption"/>
    <w:basedOn w:val="BodyText"/>
    <w:next w:val="Normal"/>
    <w:qFormat/>
    <w:rsid w:val="002F3E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E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E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EA7"/>
  </w:style>
  <w:style w:type="paragraph" w:styleId="TableofFigures">
    <w:name w:val="table of figures"/>
    <w:basedOn w:val="Normal"/>
    <w:next w:val="Normal"/>
    <w:semiHidden/>
    <w:rsid w:val="002F3E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E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3EA7"/>
    <w:rPr>
      <w:rFonts w:ascii="Wingdings" w:hAnsi="Wingdings"/>
    </w:rPr>
  </w:style>
  <w:style w:type="paragraph" w:customStyle="1" w:styleId="TableHeading">
    <w:name w:val="Table Heading"/>
    <w:basedOn w:val="HeadingBase"/>
    <w:rsid w:val="002F3E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EA7"/>
    <w:rPr>
      <w:color w:val="0033CC"/>
      <w:u w:val="none"/>
    </w:rPr>
  </w:style>
  <w:style w:type="paragraph" w:customStyle="1" w:styleId="BodyTextRight">
    <w:name w:val="Body Text Right"/>
    <w:basedOn w:val="BodyText"/>
    <w:rsid w:val="002F3E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E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E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E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E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E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EA7"/>
    <w:rPr>
      <w:sz w:val="32"/>
    </w:rPr>
  </w:style>
  <w:style w:type="paragraph" w:customStyle="1" w:styleId="HeadingProcedure">
    <w:name w:val="Heading Procedure"/>
    <w:basedOn w:val="HeadingBase"/>
    <w:next w:val="Normal"/>
    <w:rsid w:val="002F3E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EA7"/>
    <w:pPr>
      <w:spacing w:before="60" w:after="60"/>
    </w:pPr>
  </w:style>
  <w:style w:type="paragraph" w:styleId="ListContinue">
    <w:name w:val="List Continue"/>
    <w:basedOn w:val="List"/>
    <w:rsid w:val="002F3EA7"/>
    <w:pPr>
      <w:ind w:firstLine="0"/>
    </w:pPr>
  </w:style>
  <w:style w:type="paragraph" w:customStyle="1" w:styleId="ListNote">
    <w:name w:val="List Note"/>
    <w:basedOn w:val="List"/>
    <w:rsid w:val="002F3E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E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E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EA7"/>
    <w:rPr>
      <w:rFonts w:ascii="Courier New" w:hAnsi="Courier New"/>
    </w:rPr>
  </w:style>
  <w:style w:type="paragraph" w:customStyle="1" w:styleId="NoteBullet">
    <w:name w:val="Note Bullet"/>
    <w:basedOn w:val="Note"/>
    <w:rsid w:val="002F3E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E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E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E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E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3E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E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EA7"/>
    <w:rPr>
      <w:b/>
      <w:smallCaps/>
    </w:rPr>
  </w:style>
  <w:style w:type="paragraph" w:customStyle="1" w:styleId="TableListNumber">
    <w:name w:val="Table List Number"/>
    <w:basedOn w:val="ListNumber"/>
    <w:rsid w:val="002F3E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E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EA7"/>
    <w:pPr>
      <w:numPr>
        <w:numId w:val="8"/>
      </w:numPr>
    </w:pPr>
  </w:style>
  <w:style w:type="paragraph" w:customStyle="1" w:styleId="ListAlpha2">
    <w:name w:val="List Alpha 2"/>
    <w:basedOn w:val="List2"/>
    <w:rsid w:val="002F3EA7"/>
    <w:pPr>
      <w:numPr>
        <w:numId w:val="7"/>
      </w:numPr>
    </w:pPr>
  </w:style>
  <w:style w:type="paragraph" w:styleId="List2">
    <w:name w:val="List 2"/>
    <w:basedOn w:val="BodyText"/>
    <w:rsid w:val="002F3E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E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E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E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E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E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3EA7"/>
    <w:pPr>
      <w:numPr>
        <w:numId w:val="3"/>
      </w:numPr>
    </w:pPr>
  </w:style>
  <w:style w:type="paragraph" w:styleId="ListContinue2">
    <w:name w:val="List Continue 2"/>
    <w:basedOn w:val="List2"/>
    <w:rsid w:val="002F3EA7"/>
    <w:pPr>
      <w:ind w:firstLine="0"/>
    </w:pPr>
  </w:style>
  <w:style w:type="paragraph" w:styleId="ListContinue3">
    <w:name w:val="List Continue 3"/>
    <w:basedOn w:val="List3"/>
    <w:rsid w:val="002F3EA7"/>
    <w:pPr>
      <w:ind w:left="1021" w:firstLine="0"/>
    </w:pPr>
  </w:style>
  <w:style w:type="paragraph" w:styleId="ListContinue4">
    <w:name w:val="List Continue 4"/>
    <w:basedOn w:val="List4"/>
    <w:rsid w:val="002F3EA7"/>
    <w:pPr>
      <w:ind w:firstLine="0"/>
    </w:pPr>
  </w:style>
  <w:style w:type="paragraph" w:styleId="ListContinue5">
    <w:name w:val="List Continue 5"/>
    <w:basedOn w:val="List5"/>
    <w:rsid w:val="002F3EA7"/>
    <w:pPr>
      <w:ind w:firstLine="0"/>
    </w:pPr>
  </w:style>
  <w:style w:type="paragraph" w:styleId="ListNumber3">
    <w:name w:val="List Number 3"/>
    <w:basedOn w:val="List3"/>
    <w:rsid w:val="002F3EA7"/>
    <w:pPr>
      <w:numPr>
        <w:numId w:val="4"/>
      </w:numPr>
    </w:pPr>
  </w:style>
  <w:style w:type="paragraph" w:styleId="ListNumber4">
    <w:name w:val="List Number 4"/>
    <w:basedOn w:val="List4"/>
    <w:rsid w:val="002F3EA7"/>
    <w:pPr>
      <w:numPr>
        <w:numId w:val="5"/>
      </w:numPr>
    </w:pPr>
  </w:style>
  <w:style w:type="paragraph" w:styleId="ListNumber5">
    <w:name w:val="List Number 5"/>
    <w:basedOn w:val="List5"/>
    <w:rsid w:val="002F3EA7"/>
    <w:pPr>
      <w:numPr>
        <w:numId w:val="6"/>
      </w:numPr>
    </w:pPr>
  </w:style>
  <w:style w:type="paragraph" w:styleId="BlockText">
    <w:name w:val="Block Text"/>
    <w:basedOn w:val="Normal"/>
    <w:rsid w:val="002F3E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E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EA7"/>
    <w:rPr>
      <w:sz w:val="16"/>
      <w:vertAlign w:val="superscript"/>
    </w:rPr>
  </w:style>
  <w:style w:type="character" w:customStyle="1" w:styleId="Symbols">
    <w:name w:val="Symbols"/>
    <w:basedOn w:val="DefaultParagraphFont"/>
    <w:rsid w:val="002F3EA7"/>
    <w:rPr>
      <w:rFonts w:ascii="Symbol" w:hAnsi="Symbol"/>
    </w:rPr>
  </w:style>
  <w:style w:type="character" w:customStyle="1" w:styleId="MenuOptions">
    <w:name w:val="Menu Options"/>
    <w:basedOn w:val="DefaultParagraphFont"/>
    <w:rsid w:val="002F3E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EA7"/>
    <w:rPr>
      <w:b/>
    </w:rPr>
  </w:style>
  <w:style w:type="character" w:customStyle="1" w:styleId="Underlined">
    <w:name w:val="Underlined"/>
    <w:basedOn w:val="DefaultParagraphFont"/>
    <w:rsid w:val="002F3EA7"/>
    <w:rPr>
      <w:u w:val="single"/>
    </w:rPr>
  </w:style>
  <w:style w:type="paragraph" w:customStyle="1" w:styleId="TableBodyTextRight">
    <w:name w:val="Table Body Text Right"/>
    <w:basedOn w:val="TableBodyText"/>
    <w:rsid w:val="002F3E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EA7"/>
    <w:rPr>
      <w:sz w:val="18"/>
    </w:rPr>
  </w:style>
  <w:style w:type="paragraph" w:customStyle="1" w:styleId="BodySmallRight">
    <w:name w:val="Body Small Right"/>
    <w:basedOn w:val="BodyTextRight"/>
    <w:rsid w:val="002F3EA7"/>
    <w:rPr>
      <w:sz w:val="18"/>
      <w:szCs w:val="18"/>
    </w:rPr>
  </w:style>
  <w:style w:type="paragraph" w:customStyle="1" w:styleId="MarginEdition">
    <w:name w:val="Margin Edition"/>
    <w:basedOn w:val="MarginNote"/>
    <w:rsid w:val="002F3E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EA7"/>
    <w:rPr>
      <w:sz w:val="2"/>
      <w:szCs w:val="2"/>
    </w:rPr>
  </w:style>
  <w:style w:type="character" w:customStyle="1" w:styleId="Small">
    <w:name w:val="Small"/>
    <w:basedOn w:val="DefaultParagraphFont"/>
    <w:rsid w:val="002F3EA7"/>
    <w:rPr>
      <w:sz w:val="16"/>
    </w:rPr>
  </w:style>
  <w:style w:type="paragraph" w:customStyle="1" w:styleId="WideTable">
    <w:name w:val="Wide Table"/>
    <w:basedOn w:val="Normal"/>
    <w:rsid w:val="002F3E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EA7"/>
  </w:style>
  <w:style w:type="paragraph" w:styleId="Quote">
    <w:name w:val="Quote"/>
    <w:basedOn w:val="Heading1"/>
    <w:link w:val="QuoteChar"/>
    <w:qFormat/>
    <w:rsid w:val="002F3E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E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EA7"/>
    <w:pPr>
      <w:pageBreakBefore/>
    </w:pPr>
  </w:style>
  <w:style w:type="paragraph" w:customStyle="1" w:styleId="Border">
    <w:name w:val="Border"/>
    <w:basedOn w:val="Normal"/>
    <w:qFormat/>
    <w:rsid w:val="002F3E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E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E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E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E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E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E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E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E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EA7"/>
    <w:rPr>
      <w:u w:val="single"/>
    </w:rPr>
  </w:style>
  <w:style w:type="character" w:customStyle="1" w:styleId="BoldandItalics">
    <w:name w:val="Bold and Italics"/>
    <w:qFormat/>
    <w:rsid w:val="002F3EA7"/>
    <w:rPr>
      <w:b/>
      <w:i/>
      <w:u w:val="none"/>
    </w:rPr>
  </w:style>
  <w:style w:type="paragraph" w:styleId="BalloonText">
    <w:name w:val="Balloon Text"/>
    <w:basedOn w:val="Normal"/>
    <w:link w:val="BalloonTextChar"/>
    <w:rsid w:val="002F3E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E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E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E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E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E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EA7"/>
    <w:pPr>
      <w:spacing w:before="0" w:after="0"/>
    </w:pPr>
  </w:style>
  <w:style w:type="paragraph" w:customStyle="1" w:styleId="BodyTextBold">
    <w:name w:val="Body Text Bold"/>
    <w:basedOn w:val="BodyText"/>
    <w:qFormat/>
    <w:rsid w:val="002F3EA7"/>
    <w:rPr>
      <w:b/>
    </w:rPr>
  </w:style>
  <w:style w:type="character" w:styleId="Hyperlink">
    <w:name w:val="Hyperlink"/>
    <w:basedOn w:val="DefaultParagraphFont"/>
    <w:uiPriority w:val="99"/>
    <w:unhideWhenUsed/>
    <w:rsid w:val="00B05B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3979</Characters>
  <Application>Microsoft Office Word</Application>
  <DocSecurity>0</DocSecurity>
  <Lines>198</Lines>
  <Paragraphs>120</Paragraphs>
  <ScaleCrop>false</ScaleCrop>
  <Company>Author-it Software Corporation Ltd.</Company>
  <LinksUpToDate>false</LinksUpToDate>
  <CharactersWithSpaces>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MEM18106 Terminate communication and data cables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2023-02-03T06:44:00Z</dcterms:created>
  <dcterms:modified xsi:type="dcterms:W3CDTF">2023-02-03T06:44:00Z</dcterms:modified>
</cp:coreProperties>
</file>