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BDB" w:rsidP="00565BDB">
      <w:pPr>
        <w:pStyle w:val="Title"/>
      </w:pPr>
      <w:r>
        <w:fldChar w:fldCharType="begin"/>
      </w:r>
      <w:r>
        <w:instrText xml:space="preserve"> TITLE   \* MERGEFORMAT </w:instrText>
      </w:r>
      <w:r>
        <w:fldChar w:fldCharType="separate"/>
      </w:r>
      <w:r>
        <w:t>MEM18105 Disconnect and reconnect high voltage fixed wired equipment</w:t>
      </w:r>
      <w:r>
        <w:fldChar w:fldCharType="end"/>
      </w:r>
    </w:p>
    <w:p w:rsidR="00565BDB" w:rsidP="00565BDB">
      <w:pPr>
        <w:pStyle w:val="Version"/>
        <w:sectPr w:rsidSect="00DE5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5D96" w:rsidP="00DE5D96">
      <w:pPr>
        <w:pStyle w:val="SuperHeading"/>
      </w:pPr>
      <w:r w:rsidRPr="00DE5D96">
        <w:t>MEM18105 Disc</w:t>
      </w:r>
      <w:r w:rsidRPr="00DE5D96">
        <w:t>onnect and reconnect high voltage fixed wired equipment</w:t>
      </w:r>
    </w:p>
    <w:p w:rsidR="00000000" w:rsidRPr="00DE5D96" w:rsidP="00DE5D96">
      <w:pPr>
        <w:pStyle w:val="Heading1"/>
      </w:pPr>
      <w:bookmarkStart w:id="1" w:name="O_968848"/>
      <w:bookmarkEnd w:id="1"/>
      <w:r w:rsidRPr="00DE5D96">
        <w:t>Modification History</w:t>
      </w:r>
    </w:p>
    <w:p w:rsidR="00000000" w:rsidRPr="00DE5D96" w:rsidP="00565BDB">
      <w:pPr>
        <w:pStyle w:val="List"/>
      </w:pPr>
      <w:r w:rsidRPr="00DE5D96">
        <w:t>Release 2. Prerequisite units updated</w:t>
      </w:r>
    </w:p>
    <w:p w:rsidR="00000000" w:rsidRPr="00DE5D96" w:rsidP="00565BDB">
      <w:pPr>
        <w:pStyle w:val="List"/>
      </w:pPr>
      <w:r w:rsidRPr="00DE5D96">
        <w:t>Release 1. New unit</w:t>
      </w:r>
    </w:p>
    <w:p w:rsidR="00000000" w:rsidRPr="00DE5D96" w:rsidP="00DE5D96">
      <w:pPr>
        <w:pStyle w:val="AllowPageBreak"/>
      </w:pPr>
    </w:p>
    <w:p w:rsidR="00000000" w:rsidRPr="00DE5D96" w:rsidP="00DE5D96">
      <w:pPr>
        <w:pStyle w:val="Heading1"/>
      </w:pPr>
      <w:bookmarkStart w:id="2" w:name="O_968847"/>
      <w:bookmarkEnd w:id="2"/>
      <w:r w:rsidRPr="00DE5D96">
        <w:t>Application</w:t>
      </w:r>
    </w:p>
    <w:p w:rsidR="00000000" w:rsidRPr="00DE5D96" w:rsidP="00565BDB">
      <w:pPr>
        <w:pStyle w:val="BodyText"/>
      </w:pPr>
      <w:r w:rsidRPr="00DE5D96">
        <w:t>This unit has been developed for Engineering Tradesperson –</w:t>
      </w:r>
      <w:r w:rsidRPr="00DE5D96">
        <w:t xml:space="preserve"> industrial electrician apprenticeship training and the recognition of trade-level skills in disconnecting and reconnecting high voltage (HV) fixed wired equipment using appropriate techniques and procedures. </w:t>
      </w:r>
    </w:p>
    <w:p w:rsidR="00000000" w:rsidRPr="00DE5D96" w:rsidP="00565BDB">
      <w:pPr>
        <w:pStyle w:val="BodyText"/>
      </w:pPr>
      <w:r w:rsidRPr="00DE5D96">
        <w:t>Some jurisdictions require the holder of this</w:t>
      </w:r>
      <w:r w:rsidRPr="00DE5D96">
        <w:t xml:space="preserve"> unit to be licensed or certified and users should check with the relevant authorities.</w:t>
      </w:r>
    </w:p>
    <w:p w:rsidR="00000000" w:rsidRPr="00DE5D96" w:rsidP="00565BDB">
      <w:pPr>
        <w:pStyle w:val="Heading3"/>
      </w:pPr>
      <w:r w:rsidRPr="00DE5D96">
        <w:rPr>
          <w:rStyle w:val="SpecialBold"/>
        </w:rPr>
        <w:t>Band:</w:t>
      </w:r>
    </w:p>
    <w:p w:rsidR="00000000" w:rsidRPr="00DE5D96" w:rsidP="00565BDB">
      <w:pPr>
        <w:pStyle w:val="BodyText"/>
      </w:pPr>
      <w:r w:rsidRPr="00DE5D96">
        <w:t>This unit has dual status and is to be regarded as both a specialisation band A unit and Specialisation band B unit for progression to C7 (AQF level IV).</w:t>
      </w:r>
    </w:p>
    <w:p w:rsidR="00000000" w:rsidRPr="00DE5D96" w:rsidP="00565BDB">
      <w:pPr>
        <w:pStyle w:val="Heading3"/>
      </w:pPr>
      <w:r w:rsidRPr="00DE5D96">
        <w:rPr>
          <w:rStyle w:val="SpecialBold"/>
        </w:rPr>
        <w:t>Unit W</w:t>
      </w:r>
      <w:r w:rsidRPr="00DE5D96">
        <w:rPr>
          <w:rStyle w:val="SpecialBold"/>
        </w:rPr>
        <w:t>eight</w:t>
      </w:r>
      <w:r w:rsidRPr="00DE5D96">
        <w:t>:</w:t>
      </w:r>
      <w:r w:rsidRPr="00DE5D96">
        <w:tab/>
      </w:r>
      <w:r w:rsidRPr="00DE5D96">
        <w:rPr>
          <w:rStyle w:val="SpecialBold"/>
        </w:rPr>
        <w:t>3</w:t>
      </w:r>
    </w:p>
    <w:p w:rsidR="00000000" w:rsidRPr="00DE5D96" w:rsidP="00DE5D96">
      <w:pPr>
        <w:pStyle w:val="Heading1"/>
      </w:pPr>
      <w:bookmarkStart w:id="3" w:name="O_968846"/>
      <w:bookmarkEnd w:id="3"/>
      <w:r w:rsidRPr="00DE5D96">
        <w:t>Pre-requisite Unit</w:t>
      </w:r>
    </w:p>
    <w:tbl>
      <w:tblPr>
        <w:tblW w:w="0" w:type="auto"/>
        <w:tblLayout w:type="fixed"/>
        <w:tblCellMar>
          <w:left w:w="62" w:type="dxa"/>
          <w:right w:w="62" w:type="dxa"/>
        </w:tblCellMar>
        <w:tblLook w:val="0000"/>
      </w:tblPr>
      <w:tblGrid>
        <w:gridCol w:w="944"/>
        <w:gridCol w:w="2105"/>
        <w:gridCol w:w="6093"/>
      </w:tblGrid>
      <w:tr w:rsidTr="00DE5D96">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Path 1</w:t>
            </w:r>
          </w:p>
        </w:tc>
        <w:tc>
          <w:tcPr>
            <w:tcW w:w="2105"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MEM10016</w:t>
            </w:r>
          </w:p>
        </w:tc>
        <w:tc>
          <w:tcPr>
            <w:tcW w:w="6093"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Terminate and test electrical wiring and accessories</w:t>
            </w:r>
          </w:p>
        </w:tc>
      </w:tr>
      <w:tr w:rsidTr="00DE5D96">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5"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MEM10018</w:t>
            </w:r>
          </w:p>
        </w:tc>
        <w:tc>
          <w:tcPr>
            <w:tcW w:w="6093"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Select cable types and sizes to suit loads and electrical installation environment</w:t>
            </w:r>
          </w:p>
        </w:tc>
      </w:tr>
      <w:tr w:rsidTr="00DE5D96">
        <w:tblPrEx>
          <w:tblW w:w="0" w:type="auto"/>
          <w:tblLayout w:type="fixed"/>
          <w:tblCellMar>
            <w:left w:w="62" w:type="dxa"/>
            <w:right w:w="62" w:type="dxa"/>
          </w:tblCellMar>
          <w:tblLook w:val="0000"/>
        </w:tblPrEx>
        <w:tc>
          <w:tcPr>
            <w:tcW w:w="9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5"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MEM18001</w:t>
            </w:r>
          </w:p>
        </w:tc>
        <w:tc>
          <w:tcPr>
            <w:tcW w:w="6093" w:type="dxa"/>
            <w:tcBorders>
              <w:top w:val="nil"/>
              <w:left w:val="nil"/>
              <w:bottom w:val="nil"/>
              <w:right w:val="nil"/>
            </w:tcBorders>
            <w:tcMar>
              <w:top w:w="0" w:type="dxa"/>
              <w:left w:w="62" w:type="dxa"/>
              <w:bottom w:w="0" w:type="dxa"/>
              <w:right w:w="62" w:type="dxa"/>
            </w:tcMar>
          </w:tcPr>
          <w:p w:rsidR="00000000" w:rsidRPr="00DE5D96" w:rsidP="00DE5D96">
            <w:pPr>
              <w:pStyle w:val="BodyText"/>
            </w:pPr>
            <w:r w:rsidRPr="00DE5D96">
              <w:t>Use hand tools</w:t>
            </w:r>
          </w:p>
        </w:tc>
      </w:tr>
    </w:tbl>
    <w:p w:rsidR="00000000" w:rsidRPr="00DE5D96" w:rsidP="00DE5D96">
      <w:pPr>
        <w:pStyle w:val="BodyText"/>
      </w:pPr>
    </w:p>
    <w:p w:rsidR="00000000" w:rsidRPr="00DE5D96" w:rsidP="00DE5D96">
      <w:pPr>
        <w:pStyle w:val="AllowPageBreak"/>
      </w:pPr>
    </w:p>
    <w:p w:rsidR="00000000" w:rsidRPr="00DE5D96" w:rsidP="00DE5D96">
      <w:pPr>
        <w:pStyle w:val="Heading1"/>
      </w:pPr>
      <w:bookmarkStart w:id="4" w:name="O_968845"/>
      <w:bookmarkEnd w:id="4"/>
      <w:r w:rsidRPr="00DE5D96">
        <w:t>Competency Field</w:t>
      </w:r>
    </w:p>
    <w:p w:rsidR="00000000" w:rsidRPr="00DE5D96" w:rsidP="00565BDB">
      <w:pPr>
        <w:pStyle w:val="BodyText"/>
      </w:pPr>
      <w:r w:rsidRPr="00DE5D96">
        <w:t>Maintenance and diagnostics</w:t>
      </w:r>
    </w:p>
    <w:p w:rsidR="00000000" w:rsidRPr="00DE5D96" w:rsidP="00DE5D96">
      <w:pPr>
        <w:pStyle w:val="Heading1"/>
      </w:pPr>
      <w:bookmarkStart w:id="5" w:name="O_968843"/>
      <w:bookmarkEnd w:id="5"/>
      <w:r w:rsidRPr="00DE5D96">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DE5D96">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Performance criteria describe the performance needed to demonstrate achievement of the element. </w:t>
            </w:r>
          </w:p>
        </w:tc>
      </w:tr>
      <w:tr w:rsidTr="00DE5D9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1.</w:t>
            </w:r>
          </w:p>
        </w:tc>
        <w:tc>
          <w:tcPr>
            <w:tcW w:w="210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Determine job requirements</w:t>
            </w: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1.1</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Follow standard operating procedures (SOPs)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1.2</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Comply with work health and safety (WHS) requirements at all times, including appropriate risk control measures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1.3</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Use appropriate personal protective equipment (PPE) in accordance with SOPs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1.4</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Identify job requirements from specifications, drawings, job sheets or work instructions </w:t>
            </w:r>
          </w:p>
        </w:tc>
      </w:tr>
      <w:tr w:rsidTr="00DE5D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D96">
            <w:pPr>
              <w:pStyle w:val="BodyText"/>
              <w:rPr>
                <w:lang w:val="en-NZ"/>
              </w:rPr>
            </w:pPr>
          </w:p>
        </w:tc>
      </w:tr>
      <w:tr w:rsidTr="00DE5D9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w:t>
            </w:r>
          </w:p>
        </w:tc>
        <w:tc>
          <w:tcPr>
            <w:tcW w:w="210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Disconnect equipment</w:t>
            </w: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2.1</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Determine function of electrical of equipment by reference to circuit drawings, schematics, reference manuals, equipment specifications, identification plate and/or consultation with technical adviser</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2.2</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Determine and record equipment characteristics, </w:t>
            </w:r>
            <w:r w:rsidRPr="00DE5D96">
              <w:t xml:space="preserve">including direction of rotation, where appropriate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2.3</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Identify points of isolation and isolate equipment in accordance with procedures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2.4</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Check that circuits/equipment are isolated and tagged using all appropriate lock-off equipment and signage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2.5</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Note, record and label conductor layout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2.6</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Disconnect conductors and terminate and make safe disconnected cables/connections using appropriate tools, equipment and techniques</w:t>
            </w:r>
          </w:p>
        </w:tc>
      </w:tr>
      <w:tr w:rsidTr="00DE5D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D96">
            <w:pPr>
              <w:pStyle w:val="BodyText"/>
              <w:rPr>
                <w:lang w:val="en-NZ"/>
              </w:rPr>
            </w:pPr>
          </w:p>
        </w:tc>
      </w:tr>
      <w:tr w:rsidTr="00DE5D9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3.</w:t>
            </w:r>
          </w:p>
        </w:tc>
        <w:tc>
          <w:tcPr>
            <w:tcW w:w="210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Prepare to reconnect equipment</w:t>
            </w: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3.1</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Plan reconnection ensuring WHS policies and procedures are followed</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3.2</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Identify characteristics, including rating of the equipment to be connected, and determine connection requirements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3.3</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Test original and/or replacement item to ensure it is safe to be connected </w:t>
            </w:r>
          </w:p>
        </w:tc>
      </w:tr>
      <w:tr w:rsidTr="00DE5D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D96">
            <w:pPr>
              <w:pStyle w:val="BodyText"/>
              <w:rPr>
                <w:lang w:val="en-NZ"/>
              </w:rPr>
            </w:pPr>
          </w:p>
        </w:tc>
      </w:tr>
      <w:tr w:rsidTr="00DE5D9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w:t>
            </w:r>
          </w:p>
        </w:tc>
        <w:tc>
          <w:tcPr>
            <w:tcW w:w="210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Connect equipment</w:t>
            </w: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4.1</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Isolate and tag circuits and equipment in accordance with procedures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4.2</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Check connections and prepare conductors for termination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4.3</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Test the conductors for continuity and insulation resistance readings ensuring they comply with regulatory and legislative requirements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4.4</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Confirm continuity between exposed conductive parts of the equipment and the main earth or metal switchboard enc</w:t>
            </w:r>
            <w:r w:rsidRPr="00DE5D96">
              <w:t>losure</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4.5</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Connect conductors to equipment in accordance with specifications and regulatory requirements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4.6</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Fasten/seal all cables/wires/conduit to specifications </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4.7</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 xml:space="preserve">Remove all lock-off equipment and signage </w:t>
            </w:r>
          </w:p>
        </w:tc>
      </w:tr>
      <w:tr w:rsidTr="00DE5D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D96">
            <w:pPr>
              <w:pStyle w:val="BodyText"/>
              <w:rPr>
                <w:lang w:val="en-NZ"/>
              </w:rPr>
            </w:pPr>
          </w:p>
        </w:tc>
      </w:tr>
      <w:tr w:rsidTr="00DE5D9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5.</w:t>
            </w:r>
          </w:p>
        </w:tc>
        <w:tc>
          <w:tcPr>
            <w:tcW w:w="2100" w:type="dxa"/>
            <w:vMerge w:val="restart"/>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Perform emergency first aid</w:t>
            </w: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5.1</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Assess situation to identify points of danger to the injured person and potential rescuer</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5.2</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Rescue/recover injured person or provide assistance to injured person in accordance with recognised standards/procedures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5.3</w:t>
            </w:r>
          </w:p>
        </w:tc>
        <w:tc>
          <w:tcPr>
            <w:tcW w:w="561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Make contact with the appropriate medical and rescue authorities</w:t>
            </w:r>
          </w:p>
        </w:tc>
      </w:tr>
      <w:tr w:rsidTr="00DE5D9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5.4</w:t>
            </w:r>
          </w:p>
        </w:tc>
        <w:tc>
          <w:tcPr>
            <w:tcW w:w="5610" w:type="dxa"/>
            <w:tcBorders>
              <w:top w:val="nil"/>
              <w:left w:val="nil"/>
              <w:bottom w:val="nil"/>
              <w:right w:val="nil"/>
            </w:tcBorders>
            <w:tcMar>
              <w:top w:w="0" w:type="dxa"/>
              <w:left w:w="62" w:type="dxa"/>
              <w:bottom w:w="0" w:type="dxa"/>
              <w:right w:w="62" w:type="dxa"/>
            </w:tcMar>
          </w:tcPr>
          <w:p w:rsidR="00000000" w:rsidRPr="00DE5D96" w:rsidP="00DE5D96">
            <w:pPr>
              <w:pStyle w:val="BodyText"/>
            </w:pPr>
            <w:r w:rsidRPr="00DE5D96">
              <w:t>Record details of first aid given</w:t>
            </w:r>
          </w:p>
        </w:tc>
      </w:tr>
    </w:tbl>
    <w:p w:rsidR="00000000" w:rsidRPr="00DE5D96" w:rsidP="00DE5D96">
      <w:pPr>
        <w:pStyle w:val="BodyText"/>
      </w:pPr>
    </w:p>
    <w:p w:rsidR="00000000" w:rsidRPr="00DE5D96" w:rsidP="00DE5D96">
      <w:pPr>
        <w:pStyle w:val="AllowPageBreak"/>
      </w:pPr>
    </w:p>
    <w:p w:rsidR="00000000" w:rsidRPr="00DE5D96" w:rsidP="00DE5D96">
      <w:pPr>
        <w:pStyle w:val="Heading1"/>
      </w:pPr>
      <w:bookmarkStart w:id="6" w:name="O_968842"/>
      <w:bookmarkEnd w:id="6"/>
      <w:r w:rsidRPr="00DE5D96">
        <w:t>Foundation Skills</w:t>
      </w:r>
    </w:p>
    <w:p w:rsidR="00000000" w:rsidRPr="00DE5D96" w:rsidP="00565BDB">
      <w:pPr>
        <w:pStyle w:val="BodyText"/>
      </w:pPr>
      <w:r w:rsidRPr="00DE5D96">
        <w:t>This section describes those required skills (reading, writing, oral communication and numeracy) that are essent</w:t>
      </w:r>
      <w:r w:rsidRPr="00DE5D96">
        <w:t>ial to workplace performance in this unit of competency.</w:t>
      </w:r>
    </w:p>
    <w:p w:rsidR="00000000" w:rsidRPr="00DE5D96" w:rsidP="00565BDB">
      <w:pPr>
        <w:pStyle w:val="BodyText"/>
      </w:pPr>
      <w:r w:rsidRPr="00DE5D96">
        <w:t>Foundation skills essential to performance are explicit in the performance criteria of this unit of competency.</w:t>
      </w:r>
    </w:p>
    <w:p w:rsidR="00000000" w:rsidRPr="00DE5D96" w:rsidP="00DE5D96">
      <w:pPr>
        <w:pStyle w:val="Heading1"/>
      </w:pPr>
      <w:bookmarkStart w:id="7" w:name="O_968841"/>
      <w:bookmarkEnd w:id="7"/>
      <w:r w:rsidRPr="00DE5D96">
        <w:t>Range of Conditions</w:t>
      </w:r>
    </w:p>
    <w:tbl>
      <w:tblPr>
        <w:tblW w:w="0" w:type="auto"/>
        <w:tblLayout w:type="fixed"/>
        <w:tblCellMar>
          <w:left w:w="62" w:type="dxa"/>
          <w:right w:w="62" w:type="dxa"/>
        </w:tblCellMar>
        <w:tblLook w:val="0000"/>
      </w:tblPr>
      <w:tblGrid>
        <w:gridCol w:w="2760"/>
        <w:gridCol w:w="6382"/>
      </w:tblGrid>
      <w:tr w:rsidTr="00DE5D9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t>This field allows for different work environments</w:t>
            </w:r>
            <w:r w:rsidRPr="00DE5D96">
              <w:t xml:space="preserve"> and conditions that may affect performance. Essential operating conditions that may be present (depending on the work situation, needs of the candidate, accessibility of the item, and local industry and regional contexts) are included.</w:t>
            </w:r>
          </w:p>
        </w:tc>
      </w:tr>
      <w:tr w:rsidTr="00DE5D96">
        <w:tblPrEx>
          <w:tblW w:w="0" w:type="auto"/>
          <w:tblLayout w:type="fixed"/>
          <w:tblCellMar>
            <w:left w:w="62" w:type="dxa"/>
            <w:right w:w="62" w:type="dxa"/>
          </w:tblCellMar>
          <w:tblLook w:val="0000"/>
        </w:tblPrEx>
        <w:trPr>
          <w:trHeight w:val="780"/>
        </w:trPr>
        <w:tc>
          <w:tcPr>
            <w:tcW w:w="276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rPr>
                <w:rStyle w:val="SpecialBold"/>
              </w:rPr>
              <w:t>Appropriate techniques and procedures include:</w:t>
            </w:r>
            <w:r w:rsidRPr="00DE5D96">
              <w:t xml:space="preserve"> </w:t>
            </w:r>
          </w:p>
        </w:tc>
        <w:tc>
          <w:tcPr>
            <w:tcW w:w="6382" w:type="dxa"/>
            <w:tcBorders>
              <w:top w:val="nil"/>
              <w:left w:val="nil"/>
              <w:bottom w:val="nil"/>
              <w:right w:val="nil"/>
            </w:tcBorders>
            <w:tcMar>
              <w:top w:w="0" w:type="dxa"/>
              <w:left w:w="62" w:type="dxa"/>
              <w:bottom w:w="0" w:type="dxa"/>
              <w:right w:w="62" w:type="dxa"/>
            </w:tcMar>
          </w:tcPr>
          <w:p w:rsidR="00000000" w:rsidP="00DE5D96">
            <w:pPr>
              <w:pStyle w:val="ListBullet"/>
              <w:rPr>
                <w:lang w:val="en-NZ"/>
              </w:rPr>
            </w:pPr>
            <w:r w:rsidRPr="00DE5D96">
              <w:t>Clearances for safe approach as mandated by statutory authorities</w:t>
            </w:r>
          </w:p>
        </w:tc>
      </w:tr>
      <w:tr w:rsidTr="00DE5D96">
        <w:tblPrEx>
          <w:tblW w:w="0" w:type="auto"/>
          <w:tblLayout w:type="fixed"/>
          <w:tblCellMar>
            <w:left w:w="62" w:type="dxa"/>
            <w:right w:w="62" w:type="dxa"/>
          </w:tblCellMar>
          <w:tblLook w:val="0000"/>
        </w:tblPrEx>
        <w:trPr>
          <w:trHeight w:val="1377"/>
        </w:trPr>
        <w:tc>
          <w:tcPr>
            <w:tcW w:w="276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rPr>
                <w:rStyle w:val="SpecialBold"/>
              </w:rPr>
              <w:t>Isolation includes:</w:t>
            </w:r>
            <w:r w:rsidRPr="00DE5D96">
              <w:t xml:space="preserve"> </w:t>
            </w:r>
          </w:p>
        </w:tc>
        <w:tc>
          <w:tcPr>
            <w:tcW w:w="6382" w:type="dxa"/>
            <w:tcBorders>
              <w:top w:val="nil"/>
              <w:left w:val="nil"/>
              <w:bottom w:val="nil"/>
              <w:right w:val="nil"/>
            </w:tcBorders>
            <w:tcMar>
              <w:top w:w="0" w:type="dxa"/>
              <w:left w:w="62" w:type="dxa"/>
              <w:bottom w:w="0" w:type="dxa"/>
              <w:right w:w="62" w:type="dxa"/>
            </w:tcMar>
          </w:tcPr>
          <w:p w:rsidR="00000000" w:rsidP="00DE5D96">
            <w:pPr>
              <w:pStyle w:val="ListBullet"/>
              <w:rPr>
                <w:lang w:val="en-NZ"/>
              </w:rPr>
            </w:pPr>
            <w:r w:rsidRPr="00DE5D96">
              <w:t>Isolating supply for safe disconnection of all electrical power to equipment supply circuit with switch circuit breake</w:t>
            </w:r>
            <w:r w:rsidRPr="00DE5D96">
              <w:t>r or fuses on circuits/equipment at voltage levels above 1000 V alternating current (AC) and 1500 V direct current (DC)</w:t>
            </w:r>
          </w:p>
        </w:tc>
      </w:tr>
      <w:tr w:rsidTr="00DE5D96">
        <w:tblPrEx>
          <w:tblW w:w="0" w:type="auto"/>
          <w:tblLayout w:type="fixed"/>
          <w:tblCellMar>
            <w:left w:w="62" w:type="dxa"/>
            <w:right w:w="62" w:type="dxa"/>
          </w:tblCellMar>
          <w:tblLook w:val="0000"/>
        </w:tblPrEx>
        <w:trPr>
          <w:trHeight w:val="2634"/>
        </w:trPr>
        <w:tc>
          <w:tcPr>
            <w:tcW w:w="276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rPr>
                <w:rStyle w:val="SpecialBold"/>
              </w:rPr>
              <w:t>Test equipment and tools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DE5D96" w:rsidP="00DE5D96">
            <w:pPr>
              <w:pStyle w:val="BodyText"/>
            </w:pPr>
            <w:r w:rsidRPr="00DE5D96">
              <w:t>In accordance with voltage and fault-limiting requirements:</w:t>
            </w:r>
          </w:p>
          <w:p w:rsidR="00000000" w:rsidRPr="00DE5D96" w:rsidP="00DE5D96">
            <w:pPr>
              <w:pStyle w:val="ListBullet"/>
            </w:pPr>
            <w:r w:rsidRPr="00DE5D96">
              <w:t>appropriate proving dead meters</w:t>
            </w:r>
          </w:p>
          <w:p w:rsidR="00000000" w:rsidRPr="00DE5D96" w:rsidP="00DE5D96">
            <w:pPr>
              <w:pStyle w:val="ListBullet"/>
            </w:pPr>
            <w:r w:rsidRPr="00DE5D96">
              <w:t>high potential testers</w:t>
            </w:r>
          </w:p>
          <w:p w:rsidR="00000000" w:rsidRPr="00DE5D96" w:rsidP="00DE5D96">
            <w:pPr>
              <w:pStyle w:val="ListBullet"/>
            </w:pPr>
            <w:r w:rsidRPr="00DE5D96">
              <w:t xml:space="preserve">voltmeters </w:t>
            </w:r>
          </w:p>
          <w:p w:rsidR="00000000" w:rsidRPr="00DE5D96" w:rsidP="00DE5D96">
            <w:pPr>
              <w:pStyle w:val="ListBullet"/>
            </w:pPr>
            <w:r w:rsidRPr="00DE5D96">
              <w:t>insulation resistance testers</w:t>
            </w:r>
          </w:p>
          <w:p w:rsidR="00000000" w:rsidP="00DE5D96">
            <w:pPr>
              <w:pStyle w:val="ListBullet"/>
              <w:rPr>
                <w:lang w:val="en-NZ"/>
              </w:rPr>
            </w:pPr>
            <w:r w:rsidRPr="00DE5D96">
              <w:t xml:space="preserve">handheld tools, including pliers, screwdrivers, sockets, spanners, keys, earthing links and operating sticks </w:t>
            </w:r>
          </w:p>
        </w:tc>
      </w:tr>
      <w:tr w:rsidTr="00DE5D96">
        <w:tblPrEx>
          <w:tblW w:w="0" w:type="auto"/>
          <w:tblLayout w:type="fixed"/>
          <w:tblCellMar>
            <w:left w:w="62" w:type="dxa"/>
            <w:right w:w="62" w:type="dxa"/>
          </w:tblCellMar>
          <w:tblLook w:val="0000"/>
        </w:tblPrEx>
        <w:trPr>
          <w:trHeight w:val="2634"/>
        </w:trPr>
        <w:tc>
          <w:tcPr>
            <w:tcW w:w="2760" w:type="dxa"/>
            <w:tcBorders>
              <w:top w:val="nil"/>
              <w:left w:val="nil"/>
              <w:bottom w:val="nil"/>
              <w:right w:val="nil"/>
            </w:tcBorders>
            <w:tcMar>
              <w:top w:w="0" w:type="dxa"/>
              <w:left w:w="62" w:type="dxa"/>
              <w:bottom w:w="0" w:type="dxa"/>
              <w:right w:w="62" w:type="dxa"/>
            </w:tcMar>
          </w:tcPr>
          <w:p w:rsidR="00000000" w:rsidP="00DE5D96">
            <w:pPr>
              <w:pStyle w:val="BodyText"/>
              <w:rPr>
                <w:lang w:val="en-NZ"/>
              </w:rPr>
            </w:pPr>
            <w:r w:rsidRPr="00DE5D96">
              <w:rPr>
                <w:rStyle w:val="SpecialBold"/>
              </w:rPr>
              <w:t>Signage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DE5D96" w:rsidP="00DE5D96">
            <w:pPr>
              <w:pStyle w:val="ListBullet"/>
            </w:pPr>
            <w:r w:rsidRPr="00DE5D96">
              <w:t>tags</w:t>
            </w:r>
          </w:p>
          <w:p w:rsidR="00000000" w:rsidRPr="00DE5D96" w:rsidP="00DE5D96">
            <w:pPr>
              <w:pStyle w:val="ListBullet"/>
            </w:pPr>
            <w:r w:rsidRPr="00DE5D96">
              <w:t>access permit holders</w:t>
            </w:r>
          </w:p>
          <w:p w:rsidR="00000000" w:rsidRPr="00DE5D96" w:rsidP="00DE5D96">
            <w:pPr>
              <w:pStyle w:val="ListBullet"/>
            </w:pPr>
            <w:r w:rsidRPr="00DE5D96">
              <w:t>restricted access signs</w:t>
            </w:r>
          </w:p>
        </w:tc>
      </w:tr>
    </w:tbl>
    <w:p w:rsidR="00000000" w:rsidRPr="00DE5D96" w:rsidP="00DE5D96">
      <w:pPr>
        <w:pStyle w:val="BodyText"/>
      </w:pPr>
    </w:p>
    <w:p w:rsidR="00000000" w:rsidRPr="00DE5D96" w:rsidP="00DE5D96">
      <w:pPr>
        <w:pStyle w:val="AllowPageBreak"/>
      </w:pPr>
    </w:p>
    <w:p w:rsidR="00000000" w:rsidRPr="00DE5D96" w:rsidP="00DE5D96">
      <w:pPr>
        <w:pStyle w:val="Heading1"/>
      </w:pPr>
      <w:bookmarkStart w:id="8" w:name="O_968840"/>
      <w:bookmarkEnd w:id="8"/>
      <w:r w:rsidRPr="00DE5D96">
        <w:t>Unit Mapping Information</w:t>
      </w:r>
    </w:p>
    <w:p w:rsidR="00000000" w:rsidRPr="00DE5D96" w:rsidP="00565BDB">
      <w:pPr>
        <w:pStyle w:val="BodyText"/>
      </w:pPr>
      <w:r w:rsidRPr="00DE5D96">
        <w:t>No equivalent unit</w:t>
      </w:r>
    </w:p>
    <w:p w:rsidR="00000000" w:rsidRPr="00DE5D96" w:rsidP="00DE5D96">
      <w:pPr>
        <w:pStyle w:val="Heading1"/>
      </w:pPr>
      <w:bookmarkStart w:id="9" w:name="O_968849"/>
      <w:bookmarkEnd w:id="9"/>
      <w:r w:rsidRPr="00DE5D96">
        <w:t>Links</w:t>
      </w:r>
    </w:p>
    <w:p w:rsidR="00000000" w:rsidRPr="00DE5D96" w:rsidP="00565BDB">
      <w:pPr>
        <w:pStyle w:val="BodyText"/>
      </w:pPr>
      <w:r w:rsidRPr="00DE5D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E6C39">
        <w:rPr>
          <w:rStyle w:val="Hyperlink"/>
        </w:rPr>
        <w:t>https://vetnet.gov.au/Pages/TrainingDocs.aspx?q=b7050d37-5fd0-4740-8f7d-3b7a49c10bb2</w:t>
      </w:r>
      <w:r>
        <w:fldChar w:fldCharType="end"/>
      </w:r>
    </w:p>
    <w:p w:rsidR="00000000" w:rsidRPr="00DE5D96" w:rsidP="00DE5D96"/>
    <w:sectPr w:rsidSect="00DE5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6" w:rsidRPr="00565BDB" w:rsidP="00565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BDB" w:rsidP="00DE5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5BDB" w:rsidP="00DE5D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5BDB" w:rsidP="00DE5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D96" w:rsidRPr="00565BDB" w:rsidP="00565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BDB" w:rsidRPr="002D2AF8" w:rsidP="00DE5D96">
    <w:pPr>
      <w:pStyle w:val="Header"/>
      <w:framePr w:wrap="around"/>
    </w:pPr>
    <w:r>
      <w:fldChar w:fldCharType="begin"/>
    </w:r>
    <w:r>
      <w:instrText xml:space="preserve"> TITLE   \* MERGEFORMAT </w:instrText>
    </w:r>
    <w:r>
      <w:fldChar w:fldCharType="separate"/>
    </w:r>
    <w:r>
      <w:t>MEM18105 Disconnect and reconnect high voltage fixed wired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5BDB" w:rsidP="00DE5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2472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2C2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D96"/>
    <w:pPr>
      <w:spacing w:before="360" w:after="60"/>
      <w:outlineLvl w:val="0"/>
    </w:pPr>
    <w:rPr>
      <w:sz w:val="32"/>
    </w:rPr>
  </w:style>
  <w:style w:type="paragraph" w:styleId="Heading2">
    <w:name w:val="heading 2"/>
    <w:basedOn w:val="HeadingBase"/>
    <w:next w:val="BodyText"/>
    <w:link w:val="Heading2Char"/>
    <w:qFormat/>
    <w:rsid w:val="00DE5D96"/>
    <w:pPr>
      <w:keepLines/>
      <w:spacing w:before="240" w:after="120"/>
      <w:outlineLvl w:val="1"/>
    </w:pPr>
    <w:rPr>
      <w:sz w:val="28"/>
      <w:szCs w:val="40"/>
    </w:rPr>
  </w:style>
  <w:style w:type="paragraph" w:styleId="Heading3">
    <w:name w:val="heading 3"/>
    <w:basedOn w:val="HeadingBase"/>
    <w:next w:val="BodyText"/>
    <w:link w:val="Heading3Char"/>
    <w:qFormat/>
    <w:rsid w:val="00DE5D96"/>
    <w:pPr>
      <w:spacing w:before="180" w:after="120"/>
      <w:outlineLvl w:val="2"/>
    </w:pPr>
    <w:rPr>
      <w:spacing w:val="-10"/>
      <w:kern w:val="32"/>
    </w:rPr>
  </w:style>
  <w:style w:type="paragraph" w:styleId="Heading4">
    <w:name w:val="heading 4"/>
    <w:basedOn w:val="HeadingBase"/>
    <w:next w:val="BodyText"/>
    <w:link w:val="Heading4Char"/>
    <w:qFormat/>
    <w:rsid w:val="00DE5D96"/>
    <w:pPr>
      <w:spacing w:before="160" w:after="120"/>
      <w:outlineLvl w:val="3"/>
    </w:pPr>
    <w:rPr>
      <w:sz w:val="22"/>
    </w:rPr>
  </w:style>
  <w:style w:type="paragraph" w:styleId="Heading5">
    <w:name w:val="heading 5"/>
    <w:basedOn w:val="HeadingBase"/>
    <w:next w:val="Normal"/>
    <w:link w:val="Heading5Char"/>
    <w:qFormat/>
    <w:rsid w:val="00DE5D96"/>
    <w:pPr>
      <w:spacing w:before="80"/>
      <w:outlineLvl w:val="4"/>
    </w:pPr>
    <w:rPr>
      <w:color w:val="918585"/>
      <w:sz w:val="20"/>
    </w:rPr>
  </w:style>
  <w:style w:type="paragraph" w:styleId="Heading6">
    <w:name w:val="heading 6"/>
    <w:basedOn w:val="HeadingBase"/>
    <w:next w:val="Normal"/>
    <w:link w:val="Heading6Char"/>
    <w:qFormat/>
    <w:rsid w:val="00DE5D96"/>
    <w:pPr>
      <w:spacing w:before="60"/>
      <w:outlineLvl w:val="5"/>
    </w:pPr>
    <w:rPr>
      <w:color w:val="918585"/>
      <w:sz w:val="20"/>
    </w:rPr>
  </w:style>
  <w:style w:type="paragraph" w:styleId="Heading7">
    <w:name w:val="heading 7"/>
    <w:basedOn w:val="Normal"/>
    <w:next w:val="Normal"/>
    <w:link w:val="Heading7Char"/>
    <w:qFormat/>
    <w:rsid w:val="00DE5D96"/>
    <w:pPr>
      <w:ind w:left="720"/>
      <w:outlineLvl w:val="6"/>
    </w:pPr>
    <w:rPr>
      <w:i/>
    </w:rPr>
  </w:style>
  <w:style w:type="paragraph" w:styleId="Heading8">
    <w:name w:val="heading 8"/>
    <w:basedOn w:val="Normal"/>
    <w:next w:val="Normal"/>
    <w:link w:val="Heading8Char"/>
    <w:qFormat/>
    <w:rsid w:val="00DE5D96"/>
    <w:pPr>
      <w:ind w:left="720"/>
      <w:outlineLvl w:val="7"/>
    </w:pPr>
    <w:rPr>
      <w:i/>
    </w:rPr>
  </w:style>
  <w:style w:type="paragraph" w:styleId="Heading9">
    <w:name w:val="heading 9"/>
    <w:basedOn w:val="Normal"/>
    <w:next w:val="Normal"/>
    <w:link w:val="Heading9Char"/>
    <w:qFormat/>
    <w:rsid w:val="00DE5D96"/>
    <w:pPr>
      <w:ind w:left="720"/>
      <w:outlineLvl w:val="8"/>
    </w:pPr>
    <w:rPr>
      <w:i/>
    </w:rPr>
  </w:style>
  <w:style w:type="character" w:default="1" w:styleId="DefaultParagraphFont">
    <w:name w:val="Default Paragraph Font"/>
    <w:uiPriority w:val="1"/>
    <w:unhideWhenUsed/>
    <w:rsid w:val="00DE5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D96"/>
  </w:style>
  <w:style w:type="character" w:customStyle="1" w:styleId="Heading1Char">
    <w:name w:val="Heading 1 Char"/>
    <w:basedOn w:val="DefaultParagraphFont"/>
    <w:link w:val="Heading1"/>
    <w:rsid w:val="00DE5D96"/>
    <w:rPr>
      <w:rFonts w:ascii="Times New Roman" w:eastAsia="Times New Roman" w:hAnsi="Times New Roman" w:cs="Times New Roman"/>
      <w:b/>
      <w:sz w:val="32"/>
      <w:szCs w:val="20"/>
      <w:lang w:eastAsia="en-US"/>
    </w:rPr>
  </w:style>
  <w:style w:type="paragraph" w:styleId="BodyText">
    <w:name w:val="Body Text"/>
    <w:basedOn w:val="Normal"/>
    <w:link w:val="BodyTextChar"/>
    <w:rsid w:val="00DE5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D96"/>
    <w:rPr>
      <w:rFonts w:ascii="Times New Roman" w:eastAsia="Times New Roman" w:hAnsi="Times New Roman" w:cs="Times New Roman"/>
      <w:sz w:val="24"/>
      <w:lang w:eastAsia="en-US"/>
    </w:rPr>
  </w:style>
  <w:style w:type="paragraph" w:styleId="ListBullet">
    <w:name w:val="List Bullet"/>
    <w:basedOn w:val="List"/>
    <w:rsid w:val="00DE5D96"/>
    <w:pPr>
      <w:numPr>
        <w:numId w:val="11"/>
      </w:numPr>
      <w:tabs>
        <w:tab w:val="clear" w:pos="340"/>
      </w:tabs>
      <w:spacing w:before="40" w:after="40"/>
    </w:pPr>
  </w:style>
  <w:style w:type="character" w:customStyle="1" w:styleId="SpecialBold">
    <w:name w:val="Special Bold"/>
    <w:basedOn w:val="DefaultParagraphFont"/>
    <w:rsid w:val="00DE5D96"/>
    <w:rPr>
      <w:b/>
      <w:spacing w:val="0"/>
    </w:rPr>
  </w:style>
  <w:style w:type="paragraph" w:customStyle="1" w:styleId="SuperHeading">
    <w:name w:val="SuperHeading"/>
    <w:basedOn w:val="Normal"/>
    <w:rsid w:val="00DE5D96"/>
    <w:pPr>
      <w:spacing w:before="240" w:after="120"/>
      <w:outlineLvl w:val="0"/>
    </w:pPr>
    <w:rPr>
      <w:rFonts w:ascii="Times New Roman" w:hAnsi="Times New Roman"/>
      <w:b/>
      <w:sz w:val="32"/>
    </w:rPr>
  </w:style>
  <w:style w:type="paragraph" w:customStyle="1" w:styleId="AllowPageBreak">
    <w:name w:val="AllowPageBreak"/>
    <w:rsid w:val="00DE5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D96"/>
    <w:rPr>
      <w:rFonts w:ascii="Courier New" w:eastAsia="Times New Roman" w:hAnsi="Courier New" w:cs="Times New Roman"/>
      <w:i/>
      <w:szCs w:val="20"/>
      <w:lang w:eastAsia="en-US"/>
    </w:rPr>
  </w:style>
  <w:style w:type="paragraph" w:customStyle="1" w:styleId="HeadingBase">
    <w:name w:val="Heading Base"/>
    <w:rsid w:val="00DE5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D96"/>
    <w:pPr>
      <w:tabs>
        <w:tab w:val="right" w:leader="dot" w:pos="9072"/>
      </w:tabs>
      <w:ind w:left="567"/>
    </w:pPr>
    <w:rPr>
      <w:szCs w:val="22"/>
    </w:rPr>
  </w:style>
  <w:style w:type="paragraph" w:customStyle="1" w:styleId="TOCBase">
    <w:name w:val="TOC Base"/>
    <w:rsid w:val="00DE5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D96"/>
    <w:pPr>
      <w:tabs>
        <w:tab w:val="right" w:leader="dot" w:pos="9072"/>
      </w:tabs>
      <w:spacing w:before="40" w:after="40"/>
      <w:ind w:left="284"/>
    </w:pPr>
    <w:rPr>
      <w:rFonts w:ascii="Times New Roman" w:hAnsi="Times New Roman"/>
    </w:rPr>
  </w:style>
  <w:style w:type="paragraph" w:styleId="TOC1">
    <w:name w:val="toc 1"/>
    <w:basedOn w:val="TOCBase"/>
    <w:next w:val="Normal"/>
    <w:rsid w:val="00DE5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D96"/>
    <w:rPr>
      <w:rFonts w:ascii="Times New Roman" w:eastAsia="Times New Roman" w:hAnsi="Times New Roman" w:cs="Times New Roman"/>
      <w:sz w:val="16"/>
      <w:lang w:eastAsia="en-US"/>
    </w:rPr>
  </w:style>
  <w:style w:type="paragraph" w:styleId="Title">
    <w:name w:val="Title"/>
    <w:basedOn w:val="HeadingBase"/>
    <w:link w:val="TitleChar"/>
    <w:qFormat/>
    <w:rsid w:val="00DE5D96"/>
    <w:pPr>
      <w:spacing w:before="5040"/>
      <w:jc w:val="center"/>
    </w:pPr>
    <w:rPr>
      <w:sz w:val="48"/>
      <w:szCs w:val="72"/>
      <w:lang w:val="en-US"/>
    </w:rPr>
  </w:style>
  <w:style w:type="character" w:customStyle="1" w:styleId="TitleChar">
    <w:name w:val="Title Char"/>
    <w:basedOn w:val="DefaultParagraphFont"/>
    <w:link w:val="Title"/>
    <w:rsid w:val="00DE5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D96"/>
    <w:pPr>
      <w:tabs>
        <w:tab w:val="left" w:pos="3600"/>
        <w:tab w:val="left" w:pos="3958"/>
      </w:tabs>
    </w:pPr>
  </w:style>
  <w:style w:type="paragraph" w:styleId="List">
    <w:name w:val="List"/>
    <w:basedOn w:val="BodyText"/>
    <w:next w:val="BodyText"/>
    <w:rsid w:val="00DE5D96"/>
    <w:pPr>
      <w:tabs>
        <w:tab w:val="left" w:pos="340"/>
      </w:tabs>
      <w:spacing w:before="60" w:after="60"/>
      <w:ind w:left="340" w:hanging="340"/>
    </w:pPr>
  </w:style>
  <w:style w:type="paragraph" w:customStyle="1" w:styleId="Note">
    <w:name w:val="Note"/>
    <w:basedOn w:val="BodyText"/>
    <w:rsid w:val="00DE5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D96"/>
    <w:pPr>
      <w:framePr w:wrap="auto" w:hAnchor="text" w:y="6049"/>
    </w:pPr>
    <w:rPr>
      <w:color w:val="000000"/>
      <w:sz w:val="40"/>
    </w:rPr>
  </w:style>
  <w:style w:type="paragraph" w:customStyle="1" w:styleId="TOCTitle">
    <w:name w:val="TOCTitle"/>
    <w:basedOn w:val="Heading1"/>
    <w:rsid w:val="00DE5D96"/>
    <w:pPr>
      <w:spacing w:after="240"/>
      <w:jc w:val="center"/>
      <w:outlineLvl w:val="9"/>
    </w:pPr>
    <w:rPr>
      <w:caps/>
    </w:rPr>
  </w:style>
  <w:style w:type="paragraph" w:customStyle="1" w:styleId="Version">
    <w:name w:val="Version"/>
    <w:rsid w:val="00DE5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D96"/>
    <w:pPr>
      <w:numPr>
        <w:numId w:val="12"/>
      </w:numPr>
      <w:tabs>
        <w:tab w:val="clear" w:pos="680"/>
      </w:tabs>
    </w:pPr>
  </w:style>
  <w:style w:type="paragraph" w:styleId="Index1">
    <w:name w:val="index 1"/>
    <w:basedOn w:val="Normal"/>
    <w:next w:val="Normal"/>
    <w:semiHidden/>
    <w:rsid w:val="00DE5D96"/>
    <w:pPr>
      <w:keepNext w:val="0"/>
      <w:tabs>
        <w:tab w:val="right" w:pos="4176"/>
      </w:tabs>
      <w:ind w:left="198" w:hanging="198"/>
    </w:pPr>
    <w:rPr>
      <w:rFonts w:ascii="Garamond" w:hAnsi="Garamond"/>
    </w:rPr>
  </w:style>
  <w:style w:type="paragraph" w:styleId="IndexHeading">
    <w:name w:val="index heading"/>
    <w:basedOn w:val="Normal"/>
    <w:next w:val="Index1"/>
    <w:semiHidden/>
    <w:rsid w:val="00DE5D96"/>
    <w:pPr>
      <w:spacing w:before="120" w:after="120"/>
    </w:pPr>
    <w:rPr>
      <w:rFonts w:ascii="Arial" w:hAnsi="Arial"/>
      <w:b/>
      <w:color w:val="918585"/>
      <w:sz w:val="24"/>
    </w:rPr>
  </w:style>
  <w:style w:type="paragraph" w:styleId="Header">
    <w:name w:val="header"/>
    <w:basedOn w:val="Normal"/>
    <w:link w:val="HeaderChar"/>
    <w:rsid w:val="00DE5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D96"/>
    <w:rPr>
      <w:rFonts w:ascii="Times New Roman" w:eastAsia="Times New Roman" w:hAnsi="Times New Roman" w:cs="Times New Roman"/>
      <w:sz w:val="16"/>
      <w:szCs w:val="20"/>
      <w:lang w:val="en-GB" w:eastAsia="en-US"/>
    </w:rPr>
  </w:style>
  <w:style w:type="paragraph" w:customStyle="1" w:styleId="Chapter">
    <w:name w:val="Chapter"/>
    <w:basedOn w:val="Normal"/>
    <w:rsid w:val="00DE5D96"/>
    <w:pPr>
      <w:spacing w:before="240"/>
    </w:pPr>
    <w:rPr>
      <w:rFonts w:ascii="Times New Roman" w:hAnsi="Times New Roman"/>
      <w:smallCaps/>
      <w:spacing w:val="80"/>
      <w:sz w:val="28"/>
    </w:rPr>
  </w:style>
  <w:style w:type="paragraph" w:customStyle="1" w:styleId="InChapter">
    <w:name w:val="InChapter"/>
    <w:basedOn w:val="Heading3"/>
    <w:rsid w:val="00DE5D96"/>
    <w:pPr>
      <w:spacing w:after="240"/>
      <w:outlineLvl w:val="9"/>
    </w:pPr>
    <w:rPr>
      <w:noProof/>
    </w:rPr>
  </w:style>
  <w:style w:type="paragraph" w:styleId="Index2">
    <w:name w:val="index 2"/>
    <w:basedOn w:val="Normal"/>
    <w:next w:val="Normal"/>
    <w:semiHidden/>
    <w:rsid w:val="00DE5D96"/>
    <w:pPr>
      <w:tabs>
        <w:tab w:val="right" w:pos="4176"/>
      </w:tabs>
      <w:ind w:left="568" w:hanging="284"/>
    </w:pPr>
    <w:rPr>
      <w:rFonts w:ascii="Garamond" w:hAnsi="Garamond"/>
    </w:rPr>
  </w:style>
  <w:style w:type="paragraph" w:customStyle="1" w:styleId="Byline">
    <w:name w:val="Byline"/>
    <w:rsid w:val="00DE5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D96"/>
    <w:pPr>
      <w:tabs>
        <w:tab w:val="clear" w:pos="3600"/>
        <w:tab w:val="clear" w:pos="3958"/>
      </w:tabs>
      <w:jc w:val="right"/>
    </w:pPr>
  </w:style>
  <w:style w:type="character" w:styleId="Emphasis">
    <w:name w:val="Emphasis"/>
    <w:basedOn w:val="DefaultParagraphFont"/>
    <w:qFormat/>
    <w:rsid w:val="00DE5D96"/>
    <w:rPr>
      <w:i/>
    </w:rPr>
  </w:style>
  <w:style w:type="paragraph" w:styleId="Caption">
    <w:name w:val="caption"/>
    <w:basedOn w:val="BodyText"/>
    <w:next w:val="Normal"/>
    <w:qFormat/>
    <w:rsid w:val="00DE5D96"/>
    <w:pPr>
      <w:framePr w:w="2268" w:hSpace="181" w:vSpace="181" w:wrap="around" w:vAnchor="text" w:hAnchor="page" w:x="1135" w:y="285" w:anchorLock="1"/>
    </w:pPr>
    <w:rPr>
      <w:i/>
    </w:rPr>
  </w:style>
  <w:style w:type="paragraph" w:customStyle="1" w:styleId="MiniTOCTitle">
    <w:name w:val="MiniTOCTitle"/>
    <w:basedOn w:val="Heading4"/>
    <w:rsid w:val="00DE5D96"/>
    <w:pPr>
      <w:spacing w:before="240"/>
      <w:outlineLvl w:val="9"/>
    </w:pPr>
    <w:rPr>
      <w:noProof/>
      <w:sz w:val="24"/>
    </w:rPr>
  </w:style>
  <w:style w:type="paragraph" w:customStyle="1" w:styleId="MiniTOCItem">
    <w:name w:val="MiniTOCItem"/>
    <w:basedOn w:val="ListBullet"/>
    <w:rsid w:val="00DE5D96"/>
    <w:pPr>
      <w:numPr>
        <w:numId w:val="0"/>
      </w:numPr>
      <w:tabs>
        <w:tab w:val="right" w:leader="dot" w:pos="6521"/>
      </w:tabs>
      <w:spacing w:before="0" w:after="0"/>
    </w:pPr>
  </w:style>
  <w:style w:type="paragraph" w:customStyle="1" w:styleId="TOFTitle">
    <w:name w:val="TOFTitle"/>
    <w:basedOn w:val="TOCTitle"/>
    <w:rsid w:val="00DE5D96"/>
  </w:style>
  <w:style w:type="paragraph" w:styleId="TableofFigures">
    <w:name w:val="table of figures"/>
    <w:basedOn w:val="Normal"/>
    <w:next w:val="Normal"/>
    <w:semiHidden/>
    <w:rsid w:val="00DE5D96"/>
    <w:pPr>
      <w:tabs>
        <w:tab w:val="right" w:leader="dot" w:pos="9072"/>
      </w:tabs>
      <w:ind w:left="970" w:hanging="403"/>
    </w:pPr>
    <w:rPr>
      <w:rFonts w:ascii="Times New Roman" w:hAnsi="Times New Roman"/>
      <w:b/>
    </w:rPr>
  </w:style>
  <w:style w:type="paragraph" w:styleId="ListNumber">
    <w:name w:val="List Number"/>
    <w:basedOn w:val="List"/>
    <w:rsid w:val="00DE5D96"/>
    <w:pPr>
      <w:numPr>
        <w:numId w:val="14"/>
      </w:numPr>
      <w:tabs>
        <w:tab w:val="clear" w:pos="340"/>
      </w:tabs>
    </w:pPr>
  </w:style>
  <w:style w:type="character" w:customStyle="1" w:styleId="WingdingSymbols">
    <w:name w:val="Wingding Symbols"/>
    <w:rsid w:val="00DE5D96"/>
    <w:rPr>
      <w:rFonts w:ascii="Wingdings" w:hAnsi="Wingdings"/>
    </w:rPr>
  </w:style>
  <w:style w:type="paragraph" w:customStyle="1" w:styleId="TableHeading">
    <w:name w:val="Table Heading"/>
    <w:basedOn w:val="HeadingBase"/>
    <w:rsid w:val="00DE5D96"/>
    <w:pPr>
      <w:keepLines/>
      <w:pBdr>
        <w:bottom w:val="single" w:sz="6" w:space="1" w:color="918585"/>
      </w:pBdr>
      <w:spacing w:before="240"/>
    </w:pPr>
  </w:style>
  <w:style w:type="character" w:customStyle="1" w:styleId="HotSpot">
    <w:name w:val="HotSpot"/>
    <w:rsid w:val="00DE5D96"/>
    <w:rPr>
      <w:color w:val="0033CC"/>
      <w:u w:val="none"/>
    </w:rPr>
  </w:style>
  <w:style w:type="paragraph" w:customStyle="1" w:styleId="BodyTextRight">
    <w:name w:val="Body Text Right"/>
    <w:basedOn w:val="BodyText"/>
    <w:rsid w:val="00DE5D96"/>
    <w:pPr>
      <w:spacing w:before="0" w:after="0"/>
      <w:jc w:val="right"/>
    </w:pPr>
  </w:style>
  <w:style w:type="paragraph" w:styleId="Index3">
    <w:name w:val="index 3"/>
    <w:basedOn w:val="ListNumber2"/>
    <w:next w:val="Normal"/>
    <w:semiHidden/>
    <w:rsid w:val="00DE5D96"/>
    <w:pPr>
      <w:numPr>
        <w:numId w:val="0"/>
      </w:numPr>
      <w:tabs>
        <w:tab w:val="right" w:leader="dot" w:pos="4176"/>
      </w:tabs>
    </w:pPr>
  </w:style>
  <w:style w:type="paragraph" w:styleId="ListNumber2">
    <w:name w:val="List Number 2"/>
    <w:basedOn w:val="List2"/>
    <w:rsid w:val="00DE5D96"/>
    <w:pPr>
      <w:numPr>
        <w:numId w:val="9"/>
      </w:numPr>
      <w:tabs>
        <w:tab w:val="clear" w:pos="1060"/>
      </w:tabs>
    </w:pPr>
  </w:style>
  <w:style w:type="paragraph" w:customStyle="1" w:styleId="MarginNote">
    <w:name w:val="Margin Note"/>
    <w:basedOn w:val="BodyText"/>
    <w:rsid w:val="00DE5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D96"/>
    <w:rPr>
      <w:sz w:val="32"/>
    </w:rPr>
  </w:style>
  <w:style w:type="paragraph" w:customStyle="1" w:styleId="HeadingProcedure">
    <w:name w:val="Heading Procedure"/>
    <w:basedOn w:val="HeadingBase"/>
    <w:next w:val="Normal"/>
    <w:rsid w:val="00DE5D96"/>
    <w:pPr>
      <w:tabs>
        <w:tab w:val="left" w:pos="0"/>
      </w:tabs>
      <w:spacing w:before="120" w:after="60"/>
    </w:pPr>
    <w:rPr>
      <w:i/>
      <w:color w:val="918585"/>
      <w:sz w:val="22"/>
    </w:rPr>
  </w:style>
  <w:style w:type="paragraph" w:customStyle="1" w:styleId="TableBodyText">
    <w:name w:val="Table Body Text"/>
    <w:basedOn w:val="BodyText"/>
    <w:rsid w:val="00DE5D96"/>
    <w:pPr>
      <w:spacing w:before="60" w:after="60"/>
    </w:pPr>
  </w:style>
  <w:style w:type="paragraph" w:styleId="ListContinue">
    <w:name w:val="List Continue"/>
    <w:basedOn w:val="List"/>
    <w:rsid w:val="00DE5D96"/>
    <w:pPr>
      <w:ind w:firstLine="0"/>
    </w:pPr>
  </w:style>
  <w:style w:type="paragraph" w:customStyle="1" w:styleId="ListNote">
    <w:name w:val="List Note"/>
    <w:basedOn w:val="List"/>
    <w:rsid w:val="00DE5D96"/>
    <w:pPr>
      <w:pBdr>
        <w:top w:val="single" w:sz="6" w:space="2" w:color="918585"/>
        <w:bottom w:val="single" w:sz="6" w:space="2" w:color="918585"/>
      </w:pBdr>
      <w:tabs>
        <w:tab w:val="left" w:pos="1021"/>
      </w:tabs>
      <w:ind w:firstLine="0"/>
    </w:pPr>
  </w:style>
  <w:style w:type="paragraph" w:customStyle="1" w:styleId="Warning">
    <w:name w:val="Warning"/>
    <w:basedOn w:val="BodyText"/>
    <w:rsid w:val="00DE5D96"/>
    <w:pPr>
      <w:shd w:val="clear" w:color="auto" w:fill="D9D9D9"/>
      <w:tabs>
        <w:tab w:val="left" w:pos="992"/>
      </w:tabs>
      <w:ind w:left="119" w:right="119"/>
    </w:pPr>
    <w:rPr>
      <w:sz w:val="20"/>
    </w:rPr>
  </w:style>
  <w:style w:type="paragraph" w:customStyle="1" w:styleId="MarginIcons">
    <w:name w:val="Margin Icons"/>
    <w:basedOn w:val="BodyText"/>
    <w:rsid w:val="00DE5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D96"/>
    <w:rPr>
      <w:rFonts w:ascii="Courier New" w:hAnsi="Courier New"/>
    </w:rPr>
  </w:style>
  <w:style w:type="paragraph" w:customStyle="1" w:styleId="NoteBullet">
    <w:name w:val="Note Bullet"/>
    <w:basedOn w:val="Note"/>
    <w:rsid w:val="00DE5D96"/>
    <w:pPr>
      <w:tabs>
        <w:tab w:val="clear" w:pos="680"/>
      </w:tabs>
      <w:spacing w:before="60" w:after="60"/>
    </w:pPr>
  </w:style>
  <w:style w:type="paragraph" w:customStyle="1" w:styleId="SubHeading2">
    <w:name w:val="SubHeading2"/>
    <w:basedOn w:val="HeadingBase"/>
    <w:rsid w:val="00DE5D96"/>
    <w:pPr>
      <w:spacing w:before="240" w:after="60"/>
    </w:pPr>
    <w:rPr>
      <w:sz w:val="20"/>
    </w:rPr>
  </w:style>
  <w:style w:type="paragraph" w:customStyle="1" w:styleId="SubHeading1">
    <w:name w:val="SubHeading1"/>
    <w:basedOn w:val="HeadingBase"/>
    <w:rsid w:val="00DE5D96"/>
    <w:pPr>
      <w:spacing w:before="240" w:after="60"/>
    </w:pPr>
    <w:rPr>
      <w:color w:val="918585"/>
      <w:sz w:val="22"/>
    </w:rPr>
  </w:style>
  <w:style w:type="paragraph" w:customStyle="1" w:styleId="SideHeading">
    <w:name w:val="Side Heading"/>
    <w:basedOn w:val="HeadingBase"/>
    <w:rsid w:val="00DE5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D96"/>
    <w:pPr>
      <w:numPr>
        <w:numId w:val="10"/>
      </w:numPr>
    </w:pPr>
  </w:style>
  <w:style w:type="paragraph" w:styleId="PlainText">
    <w:name w:val="Plain Text"/>
    <w:basedOn w:val="Normal"/>
    <w:link w:val="PlainTextChar"/>
    <w:rsid w:val="00DE5D96"/>
    <w:rPr>
      <w:sz w:val="20"/>
    </w:rPr>
  </w:style>
  <w:style w:type="character" w:customStyle="1" w:styleId="PlainTextChar">
    <w:name w:val="Plain Text Char"/>
    <w:basedOn w:val="DefaultParagraphFont"/>
    <w:link w:val="PlainText"/>
    <w:rsid w:val="00DE5D96"/>
    <w:rPr>
      <w:rFonts w:ascii="Courier New" w:eastAsia="Times New Roman" w:hAnsi="Courier New" w:cs="Times New Roman"/>
      <w:sz w:val="20"/>
      <w:szCs w:val="20"/>
      <w:lang w:eastAsia="en-US"/>
    </w:rPr>
  </w:style>
  <w:style w:type="character" w:customStyle="1" w:styleId="MenuOption">
    <w:name w:val="Menu Option"/>
    <w:basedOn w:val="DefaultParagraphFont"/>
    <w:rsid w:val="00DE5D96"/>
    <w:rPr>
      <w:b/>
      <w:smallCaps/>
    </w:rPr>
  </w:style>
  <w:style w:type="paragraph" w:customStyle="1" w:styleId="TableListNumber">
    <w:name w:val="Table List Number"/>
    <w:basedOn w:val="ListNumber"/>
    <w:rsid w:val="00DE5D96"/>
    <w:pPr>
      <w:numPr>
        <w:numId w:val="0"/>
      </w:numPr>
    </w:pPr>
  </w:style>
  <w:style w:type="paragraph" w:styleId="TOC4">
    <w:name w:val="toc 4"/>
    <w:basedOn w:val="TOCBase"/>
    <w:next w:val="Normal"/>
    <w:semiHidden/>
    <w:rsid w:val="00DE5D96"/>
    <w:pPr>
      <w:tabs>
        <w:tab w:val="right" w:leader="dot" w:pos="9071"/>
      </w:tabs>
      <w:ind w:left="1701"/>
    </w:pPr>
  </w:style>
  <w:style w:type="paragraph" w:customStyle="1" w:styleId="ListAlpha">
    <w:name w:val="List Alpha"/>
    <w:basedOn w:val="List"/>
    <w:rsid w:val="00DE5D96"/>
    <w:pPr>
      <w:numPr>
        <w:numId w:val="8"/>
      </w:numPr>
    </w:pPr>
  </w:style>
  <w:style w:type="paragraph" w:customStyle="1" w:styleId="ListAlpha2">
    <w:name w:val="List Alpha 2"/>
    <w:basedOn w:val="List2"/>
    <w:rsid w:val="00DE5D96"/>
    <w:pPr>
      <w:numPr>
        <w:numId w:val="7"/>
      </w:numPr>
    </w:pPr>
  </w:style>
  <w:style w:type="paragraph" w:styleId="List2">
    <w:name w:val="List 2"/>
    <w:basedOn w:val="BodyText"/>
    <w:rsid w:val="00DE5D96"/>
    <w:pPr>
      <w:tabs>
        <w:tab w:val="left" w:pos="680"/>
      </w:tabs>
      <w:spacing w:before="60" w:after="60"/>
      <w:ind w:left="680" w:hanging="340"/>
    </w:pPr>
  </w:style>
  <w:style w:type="paragraph" w:styleId="List3">
    <w:name w:val="List 3"/>
    <w:basedOn w:val="BodyText"/>
    <w:rsid w:val="00DE5D96"/>
    <w:pPr>
      <w:tabs>
        <w:tab w:val="left" w:pos="1021"/>
      </w:tabs>
      <w:spacing w:before="60" w:after="60"/>
      <w:ind w:left="1020" w:hanging="340"/>
    </w:pPr>
  </w:style>
  <w:style w:type="paragraph" w:styleId="List4">
    <w:name w:val="List 4"/>
    <w:basedOn w:val="BodyText"/>
    <w:rsid w:val="00DE5D96"/>
    <w:pPr>
      <w:tabs>
        <w:tab w:val="left" w:pos="1361"/>
      </w:tabs>
      <w:spacing w:before="60" w:after="60"/>
      <w:ind w:left="1361" w:hanging="340"/>
    </w:pPr>
  </w:style>
  <w:style w:type="paragraph" w:styleId="List5">
    <w:name w:val="List 5"/>
    <w:basedOn w:val="BodyText"/>
    <w:rsid w:val="00DE5D96"/>
    <w:pPr>
      <w:tabs>
        <w:tab w:val="left" w:pos="1701"/>
      </w:tabs>
      <w:spacing w:before="60" w:after="60"/>
      <w:ind w:left="1701" w:hanging="340"/>
    </w:pPr>
  </w:style>
  <w:style w:type="paragraph" w:styleId="ListBullet3">
    <w:name w:val="List Bullet 3"/>
    <w:basedOn w:val="List3"/>
    <w:rsid w:val="00DE5D96"/>
    <w:pPr>
      <w:numPr>
        <w:numId w:val="13"/>
      </w:numPr>
      <w:tabs>
        <w:tab w:val="clear" w:pos="1021"/>
      </w:tabs>
      <w:ind w:left="1037" w:hanging="357"/>
    </w:pPr>
  </w:style>
  <w:style w:type="paragraph" w:styleId="ListBullet4">
    <w:name w:val="List Bullet 4"/>
    <w:basedOn w:val="List4"/>
    <w:rsid w:val="00DE5D96"/>
    <w:pPr>
      <w:numPr>
        <w:numId w:val="2"/>
      </w:numPr>
      <w:tabs>
        <w:tab w:val="clear" w:pos="1361"/>
      </w:tabs>
    </w:pPr>
  </w:style>
  <w:style w:type="paragraph" w:styleId="ListBullet5">
    <w:name w:val="List Bullet 5"/>
    <w:basedOn w:val="List5"/>
    <w:rsid w:val="00DE5D96"/>
    <w:pPr>
      <w:numPr>
        <w:numId w:val="3"/>
      </w:numPr>
    </w:pPr>
  </w:style>
  <w:style w:type="paragraph" w:styleId="ListContinue2">
    <w:name w:val="List Continue 2"/>
    <w:basedOn w:val="List2"/>
    <w:rsid w:val="00DE5D96"/>
    <w:pPr>
      <w:ind w:firstLine="0"/>
    </w:pPr>
  </w:style>
  <w:style w:type="paragraph" w:styleId="ListContinue3">
    <w:name w:val="List Continue 3"/>
    <w:basedOn w:val="List3"/>
    <w:rsid w:val="00DE5D96"/>
    <w:pPr>
      <w:ind w:left="1021" w:firstLine="0"/>
    </w:pPr>
  </w:style>
  <w:style w:type="paragraph" w:styleId="ListContinue4">
    <w:name w:val="List Continue 4"/>
    <w:basedOn w:val="List4"/>
    <w:rsid w:val="00DE5D96"/>
    <w:pPr>
      <w:ind w:firstLine="0"/>
    </w:pPr>
  </w:style>
  <w:style w:type="paragraph" w:styleId="ListContinue5">
    <w:name w:val="List Continue 5"/>
    <w:basedOn w:val="List5"/>
    <w:rsid w:val="00DE5D96"/>
    <w:pPr>
      <w:ind w:firstLine="0"/>
    </w:pPr>
  </w:style>
  <w:style w:type="paragraph" w:styleId="ListNumber3">
    <w:name w:val="List Number 3"/>
    <w:basedOn w:val="List3"/>
    <w:rsid w:val="00DE5D96"/>
    <w:pPr>
      <w:numPr>
        <w:numId w:val="4"/>
      </w:numPr>
    </w:pPr>
  </w:style>
  <w:style w:type="paragraph" w:styleId="ListNumber4">
    <w:name w:val="List Number 4"/>
    <w:basedOn w:val="List4"/>
    <w:rsid w:val="00DE5D96"/>
    <w:pPr>
      <w:numPr>
        <w:numId w:val="5"/>
      </w:numPr>
    </w:pPr>
  </w:style>
  <w:style w:type="paragraph" w:styleId="ListNumber5">
    <w:name w:val="List Number 5"/>
    <w:basedOn w:val="List5"/>
    <w:rsid w:val="00DE5D96"/>
    <w:pPr>
      <w:numPr>
        <w:numId w:val="6"/>
      </w:numPr>
    </w:pPr>
  </w:style>
  <w:style w:type="paragraph" w:styleId="BlockText">
    <w:name w:val="Block Text"/>
    <w:basedOn w:val="Normal"/>
    <w:rsid w:val="00DE5D96"/>
    <w:pPr>
      <w:spacing w:after="120"/>
      <w:ind w:left="1440" w:right="1440"/>
    </w:pPr>
  </w:style>
  <w:style w:type="character" w:customStyle="1" w:styleId="Subscript">
    <w:name w:val="Subscript"/>
    <w:basedOn w:val="DefaultParagraphFont"/>
    <w:rsid w:val="00DE5D96"/>
    <w:rPr>
      <w:sz w:val="16"/>
      <w:vertAlign w:val="subscript"/>
    </w:rPr>
  </w:style>
  <w:style w:type="character" w:customStyle="1" w:styleId="Superscript">
    <w:name w:val="Superscript"/>
    <w:basedOn w:val="DefaultParagraphFont"/>
    <w:rsid w:val="00DE5D96"/>
    <w:rPr>
      <w:sz w:val="16"/>
      <w:vertAlign w:val="superscript"/>
    </w:rPr>
  </w:style>
  <w:style w:type="character" w:customStyle="1" w:styleId="Symbols">
    <w:name w:val="Symbols"/>
    <w:basedOn w:val="DefaultParagraphFont"/>
    <w:rsid w:val="00DE5D96"/>
    <w:rPr>
      <w:rFonts w:ascii="Symbol" w:hAnsi="Symbol"/>
    </w:rPr>
  </w:style>
  <w:style w:type="character" w:customStyle="1" w:styleId="MenuOptions">
    <w:name w:val="Menu Options"/>
    <w:basedOn w:val="DefaultParagraphFont"/>
    <w:rsid w:val="00DE5D96"/>
    <w:rPr>
      <w:rFonts w:ascii="Arial Narrow" w:hAnsi="Arial Narrow"/>
      <w:smallCaps/>
    </w:rPr>
  </w:style>
  <w:style w:type="character" w:customStyle="1" w:styleId="Buttons">
    <w:name w:val="Buttons"/>
    <w:basedOn w:val="DefaultParagraphFont"/>
    <w:rsid w:val="00DE5D96"/>
    <w:rPr>
      <w:b/>
    </w:rPr>
  </w:style>
  <w:style w:type="character" w:customStyle="1" w:styleId="Underlined">
    <w:name w:val="Underlined"/>
    <w:basedOn w:val="DefaultParagraphFont"/>
    <w:rsid w:val="00DE5D96"/>
    <w:rPr>
      <w:u w:val="single"/>
    </w:rPr>
  </w:style>
  <w:style w:type="paragraph" w:customStyle="1" w:styleId="TableBodyTextRight">
    <w:name w:val="Table Body Text Right"/>
    <w:basedOn w:val="TableBodyText"/>
    <w:rsid w:val="00DE5D96"/>
    <w:pPr>
      <w:widowControl w:val="0"/>
      <w:autoSpaceDE w:val="0"/>
      <w:autoSpaceDN w:val="0"/>
      <w:adjustRightInd w:val="0"/>
      <w:jc w:val="right"/>
    </w:pPr>
    <w:rPr>
      <w:rFonts w:cs="Arial"/>
      <w:szCs w:val="18"/>
    </w:rPr>
  </w:style>
  <w:style w:type="paragraph" w:customStyle="1" w:styleId="CopyrightText">
    <w:name w:val="Copyright Text"/>
    <w:basedOn w:val="BodyText"/>
    <w:rsid w:val="00DE5D96"/>
    <w:rPr>
      <w:sz w:val="18"/>
    </w:rPr>
  </w:style>
  <w:style w:type="paragraph" w:customStyle="1" w:styleId="BodySmallRight">
    <w:name w:val="Body Small Right"/>
    <w:basedOn w:val="BodyTextRight"/>
    <w:rsid w:val="00DE5D96"/>
    <w:rPr>
      <w:sz w:val="18"/>
      <w:szCs w:val="18"/>
    </w:rPr>
  </w:style>
  <w:style w:type="paragraph" w:customStyle="1" w:styleId="MarginEdition">
    <w:name w:val="Margin Edition"/>
    <w:basedOn w:val="MarginNote"/>
    <w:rsid w:val="00DE5D96"/>
    <w:pPr>
      <w:spacing w:before="0" w:after="0"/>
    </w:pPr>
    <w:rPr>
      <w:rFonts w:ascii="Times New Roman" w:hAnsi="Times New Roman"/>
      <w:color w:val="999999"/>
    </w:rPr>
  </w:style>
  <w:style w:type="paragraph" w:customStyle="1" w:styleId="Spacer">
    <w:name w:val="Spacer"/>
    <w:basedOn w:val="Normal"/>
    <w:rsid w:val="00DE5D96"/>
    <w:rPr>
      <w:sz w:val="2"/>
      <w:szCs w:val="2"/>
    </w:rPr>
  </w:style>
  <w:style w:type="character" w:customStyle="1" w:styleId="Small">
    <w:name w:val="Small"/>
    <w:basedOn w:val="DefaultParagraphFont"/>
    <w:rsid w:val="00DE5D96"/>
    <w:rPr>
      <w:sz w:val="16"/>
    </w:rPr>
  </w:style>
  <w:style w:type="paragraph" w:customStyle="1" w:styleId="WideTable">
    <w:name w:val="Wide Table"/>
    <w:basedOn w:val="Normal"/>
    <w:rsid w:val="00DE5D96"/>
    <w:pPr>
      <w:ind w:left="-1418"/>
    </w:pPr>
    <w:rPr>
      <w:sz w:val="2"/>
      <w:szCs w:val="2"/>
    </w:rPr>
  </w:style>
  <w:style w:type="character" w:styleId="PageNumber">
    <w:name w:val="page number"/>
    <w:basedOn w:val="DefaultParagraphFont"/>
    <w:rsid w:val="00DE5D96"/>
  </w:style>
  <w:style w:type="paragraph" w:styleId="Quote">
    <w:name w:val="Quote"/>
    <w:basedOn w:val="Heading1"/>
    <w:link w:val="QuoteChar"/>
    <w:qFormat/>
    <w:rsid w:val="00DE5D96"/>
    <w:rPr>
      <w:b w:val="0"/>
      <w:sz w:val="72"/>
      <w:szCs w:val="72"/>
      <w:lang w:val="en-NZ"/>
    </w:rPr>
  </w:style>
  <w:style w:type="character" w:customStyle="1" w:styleId="QuoteChar">
    <w:name w:val="Quote Char"/>
    <w:basedOn w:val="DefaultParagraphFont"/>
    <w:link w:val="Quote"/>
    <w:rsid w:val="00DE5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D96"/>
    <w:pPr>
      <w:pageBreakBefore/>
    </w:pPr>
  </w:style>
  <w:style w:type="paragraph" w:customStyle="1" w:styleId="Border">
    <w:name w:val="Border"/>
    <w:basedOn w:val="Normal"/>
    <w:qFormat/>
    <w:rsid w:val="00DE5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D96"/>
    <w:rPr>
      <w:b/>
      <w:bCs/>
      <w:i/>
      <w:iCs/>
      <w:color w:val="auto"/>
    </w:rPr>
  </w:style>
  <w:style w:type="paragraph" w:styleId="IntenseQuote">
    <w:name w:val="Intense Quote"/>
    <w:basedOn w:val="Normal"/>
    <w:next w:val="Normal"/>
    <w:link w:val="IntenseQuoteChar"/>
    <w:uiPriority w:val="30"/>
    <w:qFormat/>
    <w:rsid w:val="00DE5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D96"/>
    <w:rPr>
      <w:smallCaps/>
      <w:color w:val="auto"/>
      <w:u w:val="single"/>
    </w:rPr>
  </w:style>
  <w:style w:type="character" w:styleId="IntenseReference">
    <w:name w:val="Intense Reference"/>
    <w:basedOn w:val="DefaultParagraphFont"/>
    <w:uiPriority w:val="32"/>
    <w:qFormat/>
    <w:rsid w:val="00DE5D96"/>
    <w:rPr>
      <w:b/>
      <w:bCs/>
      <w:smallCaps/>
      <w:color w:val="auto"/>
      <w:spacing w:val="5"/>
      <w:u w:val="single"/>
    </w:rPr>
  </w:style>
  <w:style w:type="paragraph" w:customStyle="1" w:styleId="2ColumnHeading">
    <w:name w:val="2Column Heading"/>
    <w:basedOn w:val="BodyText"/>
    <w:qFormat/>
    <w:rsid w:val="00DE5D96"/>
    <w:pPr>
      <w:spacing w:after="60"/>
      <w:ind w:left="-2268"/>
    </w:pPr>
    <w:rPr>
      <w:b/>
    </w:rPr>
  </w:style>
  <w:style w:type="paragraph" w:customStyle="1" w:styleId="Heading1TOC">
    <w:name w:val="Heading1 TOC"/>
    <w:basedOn w:val="Normal"/>
    <w:qFormat/>
    <w:rsid w:val="00DE5D96"/>
    <w:pPr>
      <w:spacing w:before="240" w:after="120"/>
    </w:pPr>
    <w:rPr>
      <w:rFonts w:ascii="Times New Roman" w:hAnsi="Times New Roman"/>
      <w:b/>
      <w:sz w:val="32"/>
    </w:rPr>
  </w:style>
  <w:style w:type="paragraph" w:customStyle="1" w:styleId="Heading2TOC">
    <w:name w:val="Heading2 TOC"/>
    <w:basedOn w:val="Normal"/>
    <w:qFormat/>
    <w:rsid w:val="00DE5D96"/>
    <w:pPr>
      <w:spacing w:before="240" w:after="60"/>
    </w:pPr>
    <w:rPr>
      <w:rFonts w:ascii="Times New Roman" w:hAnsi="Times New Roman"/>
      <w:b/>
      <w:sz w:val="28"/>
    </w:rPr>
  </w:style>
  <w:style w:type="character" w:customStyle="1" w:styleId="Underline">
    <w:name w:val="Underline"/>
    <w:basedOn w:val="DefaultParagraphFont"/>
    <w:qFormat/>
    <w:rsid w:val="00DE5D96"/>
    <w:rPr>
      <w:u w:val="single"/>
    </w:rPr>
  </w:style>
  <w:style w:type="character" w:customStyle="1" w:styleId="BoldandItalics">
    <w:name w:val="Bold and Italics"/>
    <w:qFormat/>
    <w:rsid w:val="00DE5D96"/>
    <w:rPr>
      <w:b/>
      <w:i/>
      <w:u w:val="none"/>
    </w:rPr>
  </w:style>
  <w:style w:type="paragraph" w:styleId="BalloonText">
    <w:name w:val="Balloon Text"/>
    <w:basedOn w:val="Normal"/>
    <w:link w:val="BalloonTextChar"/>
    <w:rsid w:val="00DE5D96"/>
    <w:rPr>
      <w:rFonts w:ascii="Tahoma" w:hAnsi="Tahoma" w:cs="Tahoma"/>
      <w:sz w:val="16"/>
      <w:szCs w:val="16"/>
    </w:rPr>
  </w:style>
  <w:style w:type="character" w:customStyle="1" w:styleId="BalloonTextChar">
    <w:name w:val="Balloon Text Char"/>
    <w:basedOn w:val="DefaultParagraphFont"/>
    <w:link w:val="BalloonText"/>
    <w:rsid w:val="00DE5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D96"/>
    <w:rPr>
      <w:b/>
      <w:color w:val="660033"/>
      <w:spacing w:val="0"/>
    </w:rPr>
  </w:style>
  <w:style w:type="paragraph" w:customStyle="1" w:styleId="Nameditemlist">
    <w:name w:val="Named item list"/>
    <w:basedOn w:val="BodyText"/>
    <w:qFormat/>
    <w:rsid w:val="00DE5D96"/>
    <w:pPr>
      <w:tabs>
        <w:tab w:val="left" w:pos="2835"/>
      </w:tabs>
      <w:ind w:left="2835" w:hanging="2835"/>
    </w:pPr>
  </w:style>
  <w:style w:type="paragraph" w:customStyle="1" w:styleId="BodyTextnopadding">
    <w:name w:val="Body Text no padding"/>
    <w:basedOn w:val="BodyText"/>
    <w:qFormat/>
    <w:rsid w:val="00DE5D96"/>
    <w:pPr>
      <w:spacing w:before="0" w:after="0"/>
    </w:pPr>
  </w:style>
  <w:style w:type="paragraph" w:customStyle="1" w:styleId="BodyTextBold">
    <w:name w:val="Body Text Bold"/>
    <w:basedOn w:val="BodyText"/>
    <w:qFormat/>
    <w:rsid w:val="00DE5D96"/>
    <w:rPr>
      <w:b/>
    </w:rPr>
  </w:style>
  <w:style w:type="character" w:styleId="Hyperlink">
    <w:name w:val="Hyperlink"/>
    <w:basedOn w:val="DefaultParagraphFont"/>
    <w:uiPriority w:val="99"/>
    <w:unhideWhenUsed/>
    <w:rsid w:val="00565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4728</Characters>
  <Application>Microsoft Office Word</Application>
  <DocSecurity>0</DocSecurity>
  <Lines>236</Lines>
  <Paragraphs>127</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MEM18105 Disconnect and reconnect high voltage fixed wired equipment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