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FB5" w:rsidP="00BC4F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MEM18105 Disconnect and reconnect high voltage fixed wired equipment</w:t>
      </w:r>
      <w:r>
        <w:fldChar w:fldCharType="end"/>
      </w:r>
    </w:p>
    <w:p w:rsidR="00BC4FB5" w:rsidP="00BC4FB5">
      <w:pPr>
        <w:pStyle w:val="Version"/>
        <w:sectPr w:rsidSect="00561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136B" w:rsidP="0056136B">
      <w:pPr>
        <w:pStyle w:val="SuperHeading"/>
      </w:pPr>
      <w:r w:rsidRPr="0056136B">
        <w:t>Assessment Requirements for MEM18105 Disconnect and reconnect high voltage fixed wired equipment</w:t>
      </w:r>
    </w:p>
    <w:p w:rsidR="00000000" w:rsidRPr="0056136B" w:rsidP="0056136B">
      <w:pPr>
        <w:pStyle w:val="Heading1"/>
      </w:pPr>
      <w:bookmarkStart w:id="1" w:name="O_968838"/>
      <w:bookmarkEnd w:id="1"/>
      <w:r w:rsidRPr="0056136B">
        <w:t>Modification History</w:t>
      </w:r>
    </w:p>
    <w:p w:rsidR="00000000" w:rsidRPr="0056136B" w:rsidP="00BC4FB5">
      <w:pPr>
        <w:pStyle w:val="List"/>
      </w:pPr>
      <w:r w:rsidRPr="0056136B">
        <w:t>Release 2. Prerequisite units updated</w:t>
      </w:r>
    </w:p>
    <w:p w:rsidR="00000000" w:rsidRPr="0056136B" w:rsidP="00BC4FB5">
      <w:pPr>
        <w:pStyle w:val="List"/>
      </w:pPr>
      <w:r w:rsidRPr="0056136B">
        <w:t>Release 1. New unit</w:t>
      </w:r>
    </w:p>
    <w:p w:rsidR="00000000" w:rsidRPr="0056136B" w:rsidP="0056136B">
      <w:pPr>
        <w:pStyle w:val="AllowPageBreak"/>
      </w:pPr>
    </w:p>
    <w:p w:rsidR="00000000" w:rsidRPr="0056136B" w:rsidP="0056136B">
      <w:pPr>
        <w:pStyle w:val="Heading1"/>
      </w:pPr>
      <w:bookmarkStart w:id="2" w:name="O_968837"/>
      <w:bookmarkEnd w:id="2"/>
      <w:r w:rsidRPr="0056136B">
        <w:t>Performance Evidence</w:t>
      </w:r>
    </w:p>
    <w:p w:rsidR="00000000" w:rsidRPr="0056136B" w:rsidP="00BC4FB5">
      <w:pPr>
        <w:pStyle w:val="BodyText"/>
      </w:pPr>
      <w:r w:rsidRPr="0056136B">
        <w:t>Evidence required to demonstrate competence in this unit must be relevant to and satisfy the requirements of the elements and performance criteria on at least two occasions and include:</w:t>
      </w:r>
    </w:p>
    <w:p w:rsidR="00000000" w:rsidRPr="0056136B" w:rsidP="0056136B">
      <w:pPr>
        <w:pStyle w:val="ListBullet"/>
      </w:pPr>
      <w:r w:rsidRPr="0056136B">
        <w:t xml:space="preserve">following work instructions, SOPs and safe work practices </w:t>
      </w:r>
    </w:p>
    <w:p w:rsidR="00000000" w:rsidRPr="0056136B" w:rsidP="0056136B">
      <w:pPr>
        <w:pStyle w:val="ListBullet"/>
      </w:pPr>
      <w:r w:rsidRPr="0056136B">
        <w:t>identifyin</w:t>
      </w:r>
      <w:r w:rsidRPr="0056136B">
        <w:t xml:space="preserve">g and interpreting specifications, charts, lists, circuit drawings, schematics, regulatory and legislative requirements to disconnect/reconnect HV fixed wired equipment </w:t>
      </w:r>
    </w:p>
    <w:p w:rsidR="00000000" w:rsidRPr="0056136B" w:rsidP="0056136B">
      <w:pPr>
        <w:pStyle w:val="ListBullet"/>
      </w:pPr>
      <w:r w:rsidRPr="0056136B">
        <w:t>checking that the electrical equipment is isolated and tagged where necessary in stric</w:t>
      </w:r>
      <w:r w:rsidRPr="0056136B">
        <w:t xml:space="preserve">t accordance with WHS requirements and procedures using appropriate lock-off equipment and tags/signs </w:t>
      </w:r>
    </w:p>
    <w:p w:rsidR="00000000" w:rsidRPr="0056136B" w:rsidP="0056136B">
      <w:pPr>
        <w:pStyle w:val="ListBullet"/>
      </w:pPr>
      <w:r w:rsidRPr="0056136B">
        <w:t>disconnecting equipment by labelling and recording conductors and making safe disconnected cables/connections using appropriate tools, test equipment, pr</w:t>
      </w:r>
      <w:r w:rsidRPr="0056136B">
        <w:t>ocedures and techniques</w:t>
      </w:r>
    </w:p>
    <w:p w:rsidR="00000000" w:rsidRPr="0056136B" w:rsidP="0056136B">
      <w:pPr>
        <w:pStyle w:val="ListBullet"/>
      </w:pPr>
      <w:r w:rsidRPr="0056136B">
        <w:t>confirming isolation prior to reconnecting fixed wired equipment and checking connections and preparing conductors for termination in accordance with manufacturer specifications and regulatory requirements</w:t>
      </w:r>
    </w:p>
    <w:p w:rsidR="00000000" w:rsidRPr="0056136B" w:rsidP="0056136B">
      <w:pPr>
        <w:pStyle w:val="ListBullet"/>
      </w:pPr>
      <w:r w:rsidRPr="0056136B">
        <w:t>testing conductors prior t</w:t>
      </w:r>
      <w:r w:rsidRPr="0056136B">
        <w:t>o connection to ensure continuity, and insulation resistance readings comply with following requirements:</w:t>
      </w:r>
    </w:p>
    <w:p w:rsidR="00000000" w:rsidRPr="0056136B" w:rsidP="0056136B">
      <w:pPr>
        <w:pStyle w:val="ListBullet2"/>
      </w:pPr>
      <w:r w:rsidRPr="0056136B">
        <w:t>checking continuity of the protective earth conductor to determine whether it is sufficiently low</w:t>
      </w:r>
    </w:p>
    <w:p w:rsidR="00000000" w:rsidRPr="0056136B" w:rsidP="0056136B">
      <w:pPr>
        <w:pStyle w:val="ListBullet2"/>
      </w:pPr>
      <w:r w:rsidRPr="0056136B">
        <w:t>testing the resistance between the protective earth conductor and the neutral conductor to determine whether it is sufficiently low – not greater than 2 Ohms</w:t>
      </w:r>
    </w:p>
    <w:p w:rsidR="00000000" w:rsidRPr="0056136B" w:rsidP="0056136B">
      <w:pPr>
        <w:pStyle w:val="ListBullet2"/>
      </w:pPr>
      <w:r w:rsidRPr="0056136B">
        <w:t>testing the insulation resistance of active conductors to confirm that it is greater than 1 Megohm</w:t>
      </w:r>
      <w:r w:rsidRPr="0056136B">
        <w:t xml:space="preserve">  </w:t>
      </w:r>
    </w:p>
    <w:p w:rsidR="00000000" w:rsidRPr="0056136B" w:rsidP="0056136B">
      <w:pPr>
        <w:pStyle w:val="ListBullet"/>
      </w:pPr>
      <w:r w:rsidRPr="0056136B">
        <w:t xml:space="preserve">testing to ensure continuity is confirmed between the exposed conductive parts of the equipment and the main earth or metal switchboard enclosure  </w:t>
      </w:r>
    </w:p>
    <w:p w:rsidR="00000000" w:rsidRPr="0056136B" w:rsidP="0056136B">
      <w:pPr>
        <w:pStyle w:val="ListBullet"/>
      </w:pPr>
      <w:r w:rsidRPr="0056136B">
        <w:t>connecting conductors to equipment and fasten/seal cables/wires/conduits using appropriate procedures an</w:t>
      </w:r>
      <w:r w:rsidRPr="0056136B">
        <w:t>d tools to relevant specifications and regulatory requirements</w:t>
      </w:r>
    </w:p>
    <w:p w:rsidR="00000000" w:rsidRPr="0056136B" w:rsidP="0056136B">
      <w:pPr>
        <w:pStyle w:val="ListBullet"/>
      </w:pPr>
      <w:r w:rsidRPr="0056136B">
        <w:t>removing all lock-off devices and signage and checking/testing equipment and circuits for compliance to specifications</w:t>
      </w:r>
    </w:p>
    <w:p w:rsidR="00000000" w:rsidRPr="0056136B" w:rsidP="0056136B">
      <w:pPr>
        <w:pStyle w:val="ListBullet"/>
      </w:pPr>
      <w:r w:rsidRPr="0056136B">
        <w:t>rescuing/recovering of injured person in accordance with appropriate stand</w:t>
      </w:r>
      <w:r w:rsidRPr="0056136B">
        <w:t>ards/procedures and provide first aid, including cardiopulmonary resuscitation (CPR) where appropriate, and contacting the appropriate medical and rescue authorities</w:t>
      </w:r>
    </w:p>
    <w:p w:rsidR="00000000" w:rsidRPr="0056136B" w:rsidP="0056136B">
      <w:pPr>
        <w:pStyle w:val="ListBullet"/>
      </w:pPr>
      <w:r w:rsidRPr="0056136B">
        <w:t>recording details of first aid given.</w:t>
      </w:r>
    </w:p>
    <w:p w:rsidR="00000000" w:rsidRPr="0056136B" w:rsidP="0056136B">
      <w:pPr>
        <w:pStyle w:val="AllowPageBreak"/>
      </w:pPr>
    </w:p>
    <w:p w:rsidR="00000000" w:rsidRPr="0056136B" w:rsidP="0056136B">
      <w:pPr>
        <w:pStyle w:val="Heading1"/>
      </w:pPr>
      <w:bookmarkStart w:id="3" w:name="O_968836"/>
      <w:bookmarkEnd w:id="3"/>
      <w:r w:rsidRPr="0056136B">
        <w:t>Knowledge Evidence</w:t>
      </w:r>
    </w:p>
    <w:p w:rsidR="00000000" w:rsidRPr="0056136B" w:rsidP="00BC4FB5">
      <w:pPr>
        <w:pStyle w:val="BodyText"/>
      </w:pPr>
      <w:r w:rsidRPr="0056136B">
        <w:t>Evidence require</w:t>
      </w:r>
      <w:r w:rsidRPr="0056136B">
        <w:t>d to demonstrate the required knowledge for this unit must be relevant to and satisfy the requirements of the elements and performance criteria and include knowledge of:</w:t>
      </w:r>
    </w:p>
    <w:p w:rsidR="00000000" w:rsidRPr="0056136B" w:rsidP="0056136B">
      <w:pPr>
        <w:pStyle w:val="ListBullet"/>
      </w:pPr>
      <w:r w:rsidRPr="0056136B">
        <w:t>safe work practices and procedures and use of PPE</w:t>
      </w:r>
    </w:p>
    <w:p w:rsidR="00000000" w:rsidRPr="0056136B" w:rsidP="0056136B">
      <w:pPr>
        <w:pStyle w:val="ListBullet"/>
      </w:pPr>
      <w:r w:rsidRPr="0056136B">
        <w:t xml:space="preserve">any applicable industry standards, </w:t>
      </w:r>
      <w:r w:rsidRPr="0056136B">
        <w:t>national/Australian Standards, NOHSC guides, state/territory regulatory codes of practice/standards and relevant regulatory requirements</w:t>
      </w:r>
    </w:p>
    <w:p w:rsidR="00000000" w:rsidRPr="0056136B" w:rsidP="0056136B">
      <w:pPr>
        <w:pStyle w:val="ListBullet"/>
      </w:pPr>
      <w:r w:rsidRPr="0056136B">
        <w:t xml:space="preserve">characteristics of the circuit and the equipment, including rating and rotation </w:t>
      </w:r>
    </w:p>
    <w:p w:rsidR="00000000" w:rsidRPr="0056136B" w:rsidP="0056136B">
      <w:pPr>
        <w:pStyle w:val="ListBullet"/>
      </w:pPr>
      <w:r w:rsidRPr="0056136B">
        <w:t>points of isolation for the fixed wire</w:t>
      </w:r>
      <w:r w:rsidRPr="0056136B">
        <w:t>d equipment and reasons for selecting the particular isolation point) and reasons for using earthing, lock-off equipment and signs</w:t>
      </w:r>
    </w:p>
    <w:p w:rsidR="00000000" w:rsidRPr="0056136B" w:rsidP="0056136B">
      <w:pPr>
        <w:pStyle w:val="ListBullet"/>
      </w:pPr>
      <w:r w:rsidRPr="0056136B">
        <w:t>clearances from live parts</w:t>
      </w:r>
    </w:p>
    <w:p w:rsidR="00000000" w:rsidRPr="0056136B" w:rsidP="0056136B">
      <w:pPr>
        <w:pStyle w:val="ListBullet"/>
      </w:pPr>
      <w:r w:rsidRPr="0056136B">
        <w:t>safe isolation</w:t>
      </w:r>
    </w:p>
    <w:p w:rsidR="00000000" w:rsidRPr="0056136B" w:rsidP="0056136B">
      <w:pPr>
        <w:pStyle w:val="ListBullet"/>
      </w:pPr>
      <w:r w:rsidRPr="0056136B">
        <w:t>operational specifications of the fixed wired equipment and connections to be made</w:t>
      </w:r>
    </w:p>
    <w:p w:rsidR="00000000" w:rsidRPr="0056136B" w:rsidP="0056136B">
      <w:pPr>
        <w:pStyle w:val="ListBullet"/>
      </w:pPr>
      <w:r w:rsidRPr="0056136B">
        <w:t>procedures for confirming electrical isolation of fixed wired equipment and circuits</w:t>
      </w:r>
    </w:p>
    <w:p w:rsidR="00000000" w:rsidRPr="0056136B" w:rsidP="0056136B">
      <w:pPr>
        <w:pStyle w:val="ListBullet"/>
      </w:pPr>
      <w:r w:rsidRPr="0056136B">
        <w:t>procedures, techniques, tools and equipment to be used for disconnecting/reconnecting conductors</w:t>
      </w:r>
    </w:p>
    <w:p w:rsidR="00000000" w:rsidRPr="0056136B" w:rsidP="0056136B">
      <w:pPr>
        <w:pStyle w:val="ListBullet"/>
      </w:pPr>
      <w:r w:rsidRPr="0056136B">
        <w:t>test requirements to ensure compliant continuity and insulation resistance</w:t>
      </w:r>
      <w:r w:rsidRPr="0056136B">
        <w:t xml:space="preserve"> of conductors</w:t>
      </w:r>
    </w:p>
    <w:p w:rsidR="00000000" w:rsidRPr="0056136B" w:rsidP="0056136B">
      <w:pPr>
        <w:pStyle w:val="ListBullet"/>
      </w:pPr>
      <w:r w:rsidRPr="0056136B">
        <w:t>test requirements to ensure continuity between exposed conductive parts of the equipment and the main earth or metal switchboard enclosure</w:t>
      </w:r>
    </w:p>
    <w:p w:rsidR="00000000" w:rsidRPr="0056136B" w:rsidP="0056136B">
      <w:pPr>
        <w:pStyle w:val="ListBullet"/>
      </w:pPr>
      <w:r w:rsidRPr="0056136B">
        <w:t xml:space="preserve">potential dangers/risks associated with work </w:t>
      </w:r>
    </w:p>
    <w:p w:rsidR="00000000" w:rsidRPr="0056136B" w:rsidP="0056136B">
      <w:pPr>
        <w:pStyle w:val="ListBullet"/>
      </w:pPr>
      <w:r w:rsidRPr="0056136B">
        <w:t xml:space="preserve">recognised procedures for the movement and treatment of </w:t>
      </w:r>
      <w:r w:rsidRPr="0056136B">
        <w:t>the injured person, including HV rescue, clearing of airways, CPR, care of spinal injuries, treatment of cuts/lesions, burns/scalds and treatment of shock</w:t>
      </w:r>
    </w:p>
    <w:p w:rsidR="00000000" w:rsidRPr="0056136B" w:rsidP="0056136B">
      <w:pPr>
        <w:pStyle w:val="ListBullet"/>
      </w:pPr>
      <w:r w:rsidRPr="0056136B">
        <w:t>appropriate local medical and rescue services</w:t>
      </w:r>
    </w:p>
    <w:p w:rsidR="00000000" w:rsidRPr="0056136B" w:rsidP="0056136B">
      <w:pPr>
        <w:pStyle w:val="ListBullet"/>
      </w:pPr>
      <w:r w:rsidRPr="0056136B">
        <w:t>procedures for incident reporting.</w:t>
      </w:r>
    </w:p>
    <w:p w:rsidR="00000000" w:rsidRPr="0056136B" w:rsidP="0056136B">
      <w:pPr>
        <w:pStyle w:val="AllowPageBreak"/>
      </w:pPr>
    </w:p>
    <w:p w:rsidR="00000000" w:rsidRPr="0056136B" w:rsidP="0056136B">
      <w:pPr>
        <w:pStyle w:val="Heading1"/>
      </w:pPr>
      <w:bookmarkStart w:id="4" w:name="O_968835"/>
      <w:bookmarkEnd w:id="4"/>
      <w:r w:rsidRPr="0056136B">
        <w:t>Ass</w:t>
      </w:r>
      <w:r w:rsidRPr="0056136B">
        <w:t>essment Conditions</w:t>
      </w:r>
    </w:p>
    <w:p w:rsidR="00000000" w:rsidRPr="0056136B" w:rsidP="00BC4FB5">
      <w:pPr>
        <w:pStyle w:val="BodyText"/>
      </w:pPr>
      <w:r w:rsidRPr="0056136B">
        <w:t>Assessors must:</w:t>
      </w:r>
    </w:p>
    <w:p w:rsidR="00000000" w:rsidRPr="0056136B" w:rsidP="0056136B">
      <w:pPr>
        <w:pStyle w:val="ListBullet"/>
      </w:pPr>
      <w:r w:rsidRPr="0056136B">
        <w:t>have vocational competency in disconnecting and reconnecting HV fixed wired equipment at least to the level being assessed with relevant industry knowledge and experience.</w:t>
      </w:r>
    </w:p>
    <w:p w:rsidR="00000000" w:rsidRPr="0056136B" w:rsidP="0056136B">
      <w:pPr>
        <w:pStyle w:val="ListBullet"/>
      </w:pPr>
      <w:r w:rsidRPr="0056136B">
        <w:t xml:space="preserve">satisfy the assessor requirements in the </w:t>
      </w:r>
      <w:r w:rsidRPr="0056136B">
        <w:rPr>
          <w:rStyle w:val="Emphasis"/>
        </w:rPr>
        <w:t>Standar</w:t>
      </w:r>
      <w:r w:rsidRPr="0056136B">
        <w:rPr>
          <w:rStyle w:val="Emphasis"/>
        </w:rPr>
        <w:t xml:space="preserve">ds for Registered Training Organisations 2015 </w:t>
      </w:r>
      <w:r w:rsidRPr="0056136B">
        <w:t xml:space="preserve">and comply with the </w:t>
      </w:r>
      <w:r w:rsidRPr="0056136B">
        <w:rPr>
          <w:rStyle w:val="Emphasis"/>
        </w:rPr>
        <w:t xml:space="preserve">National Vocational Education and Training Regulator Act 2011 </w:t>
      </w:r>
      <w:r w:rsidRPr="0056136B">
        <w:t>or equivalent legislation covering VET regulation in a non-referring State as the case requires.</w:t>
      </w:r>
    </w:p>
    <w:p w:rsidR="00000000" w:rsidRPr="0056136B" w:rsidP="0056136B">
      <w:pPr>
        <w:pStyle w:val="BodyText"/>
      </w:pPr>
    </w:p>
    <w:p w:rsidR="00000000" w:rsidRPr="0056136B" w:rsidP="00BC4FB5">
      <w:pPr>
        <w:pStyle w:val="BodyText"/>
      </w:pPr>
      <w:r w:rsidRPr="0056136B">
        <w:t>Where possible assessment must</w:t>
      </w:r>
      <w:r w:rsidRPr="0056136B">
        <w:t xml:space="preserve"> occur in operational workplace situations. Where this is not possible or where personal safety or environmental damage are limiting factors, assessment must occur in a sufficiently rigorous simulated environment that reflects realistic operational workpla</w:t>
      </w:r>
      <w:r w:rsidRPr="0056136B">
        <w:t>ce conditions that cover all aspects of workplace performance, including environment, task skills, task management skills, contingency management skills and job role environment skills.</w:t>
      </w:r>
    </w:p>
    <w:p w:rsidR="00000000" w:rsidRPr="0056136B" w:rsidP="00BC4FB5">
      <w:pPr>
        <w:pStyle w:val="BodyText"/>
      </w:pPr>
      <w:r w:rsidRPr="0056136B">
        <w:t>Conditions for assessment must include access to all tools, equipment</w:t>
      </w:r>
      <w:r w:rsidRPr="0056136B">
        <w:t>, materials and documentation required, including relevant workplace procedures, product and manufacturer specifications.</w:t>
      </w:r>
    </w:p>
    <w:p w:rsidR="00000000" w:rsidRPr="0056136B" w:rsidP="00BC4FB5">
      <w:pPr>
        <w:pStyle w:val="BodyText"/>
      </w:pPr>
      <w:r w:rsidRPr="0056136B">
        <w:t>Assessment processes and techniques must be appropriate to the language, literacy and numeracy requirements of the work being performed and the needs of the candidate.</w:t>
      </w:r>
    </w:p>
    <w:p w:rsidR="00000000" w:rsidRPr="0056136B" w:rsidP="0056136B">
      <w:pPr>
        <w:pStyle w:val="Heading1"/>
      </w:pPr>
      <w:bookmarkStart w:id="5" w:name="O_968850"/>
      <w:bookmarkEnd w:id="5"/>
      <w:r w:rsidRPr="0056136B">
        <w:t>Links</w:t>
      </w:r>
    </w:p>
    <w:p w:rsidR="00000000" w:rsidRPr="0056136B" w:rsidP="00BC4FB5">
      <w:pPr>
        <w:pStyle w:val="BodyText"/>
      </w:pPr>
      <w:r w:rsidRPr="005613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73C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6136B" w:rsidP="0056136B"/>
    <w:sectPr w:rsidSect="005613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36B" w:rsidRPr="00BC4FB5" w:rsidP="00BC4F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B5" w:rsidP="00561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FB5" w:rsidP="00561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4FB5" w:rsidP="005613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36B" w:rsidRPr="00BC4FB5" w:rsidP="00BC4F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B5" w:rsidRPr="002D2AF8" w:rsidP="00561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MEM18105 Disconnect and reconnect high voltage fixed wired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C4FB5" w:rsidP="00561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8C1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EA2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9CC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36B"/>
  </w:style>
  <w:style w:type="character" w:customStyle="1" w:styleId="Heading1Char">
    <w:name w:val="Heading 1 Char"/>
    <w:basedOn w:val="DefaultParagraphFont"/>
    <w:link w:val="Heading1"/>
    <w:rsid w:val="00561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3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3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13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13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136B"/>
    <w:rPr>
      <w:i/>
    </w:rPr>
  </w:style>
  <w:style w:type="paragraph" w:customStyle="1" w:styleId="SuperHeading">
    <w:name w:val="SuperHeading"/>
    <w:basedOn w:val="Normal"/>
    <w:rsid w:val="005613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3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3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3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3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3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136B"/>
    <w:rPr>
      <w:b/>
      <w:spacing w:val="0"/>
    </w:rPr>
  </w:style>
  <w:style w:type="paragraph" w:customStyle="1" w:styleId="SuperTitle">
    <w:name w:val="SuperTitle"/>
    <w:basedOn w:val="Title"/>
    <w:rsid w:val="00561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3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1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36B"/>
  </w:style>
  <w:style w:type="paragraph" w:styleId="TableofFigures">
    <w:name w:val="table of figures"/>
    <w:basedOn w:val="Normal"/>
    <w:next w:val="Normal"/>
    <w:semiHidden/>
    <w:rsid w:val="00561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3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136B"/>
    <w:rPr>
      <w:rFonts w:ascii="Wingdings" w:hAnsi="Wingdings"/>
    </w:rPr>
  </w:style>
  <w:style w:type="paragraph" w:customStyle="1" w:styleId="TableHeading">
    <w:name w:val="Table Heading"/>
    <w:basedOn w:val="HeadingBase"/>
    <w:rsid w:val="00561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36B"/>
    <w:rPr>
      <w:color w:val="0033CC"/>
      <w:u w:val="none"/>
    </w:rPr>
  </w:style>
  <w:style w:type="paragraph" w:customStyle="1" w:styleId="BodyTextRight">
    <w:name w:val="Body Text Right"/>
    <w:basedOn w:val="BodyText"/>
    <w:rsid w:val="00561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3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3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36B"/>
    <w:rPr>
      <w:sz w:val="32"/>
    </w:rPr>
  </w:style>
  <w:style w:type="paragraph" w:customStyle="1" w:styleId="HeadingProcedure">
    <w:name w:val="Heading Procedure"/>
    <w:basedOn w:val="HeadingBase"/>
    <w:next w:val="Normal"/>
    <w:rsid w:val="00561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36B"/>
    <w:pPr>
      <w:spacing w:before="60" w:after="60"/>
    </w:pPr>
  </w:style>
  <w:style w:type="paragraph" w:styleId="ListContinue">
    <w:name w:val="List Continue"/>
    <w:basedOn w:val="List"/>
    <w:rsid w:val="0056136B"/>
    <w:pPr>
      <w:ind w:firstLine="0"/>
    </w:pPr>
  </w:style>
  <w:style w:type="paragraph" w:customStyle="1" w:styleId="ListNote">
    <w:name w:val="List Note"/>
    <w:basedOn w:val="List"/>
    <w:rsid w:val="00561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36B"/>
    <w:rPr>
      <w:rFonts w:ascii="Courier New" w:hAnsi="Courier New"/>
    </w:rPr>
  </w:style>
  <w:style w:type="paragraph" w:customStyle="1" w:styleId="NoteBullet">
    <w:name w:val="Note Bullet"/>
    <w:basedOn w:val="Note"/>
    <w:rsid w:val="00561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3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1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3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36B"/>
    <w:rPr>
      <w:b/>
      <w:smallCaps/>
    </w:rPr>
  </w:style>
  <w:style w:type="paragraph" w:customStyle="1" w:styleId="TableListNumber">
    <w:name w:val="Table List Number"/>
    <w:basedOn w:val="ListNumber"/>
    <w:rsid w:val="00561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36B"/>
    <w:pPr>
      <w:numPr>
        <w:numId w:val="9"/>
      </w:numPr>
    </w:pPr>
  </w:style>
  <w:style w:type="paragraph" w:customStyle="1" w:styleId="ListAlpha2">
    <w:name w:val="List Alpha 2"/>
    <w:basedOn w:val="List2"/>
    <w:rsid w:val="0056136B"/>
    <w:pPr>
      <w:numPr>
        <w:numId w:val="8"/>
      </w:numPr>
    </w:pPr>
  </w:style>
  <w:style w:type="paragraph" w:styleId="List2">
    <w:name w:val="List 2"/>
    <w:basedOn w:val="BodyText"/>
    <w:rsid w:val="005613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3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3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3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136B"/>
    <w:pPr>
      <w:numPr>
        <w:numId w:val="4"/>
      </w:numPr>
    </w:pPr>
  </w:style>
  <w:style w:type="paragraph" w:styleId="ListContinue2">
    <w:name w:val="List Continue 2"/>
    <w:basedOn w:val="List2"/>
    <w:rsid w:val="0056136B"/>
    <w:pPr>
      <w:ind w:firstLine="0"/>
    </w:pPr>
  </w:style>
  <w:style w:type="paragraph" w:styleId="ListContinue3">
    <w:name w:val="List Continue 3"/>
    <w:basedOn w:val="List3"/>
    <w:rsid w:val="0056136B"/>
    <w:pPr>
      <w:ind w:left="1021" w:firstLine="0"/>
    </w:pPr>
  </w:style>
  <w:style w:type="paragraph" w:styleId="ListContinue4">
    <w:name w:val="List Continue 4"/>
    <w:basedOn w:val="List4"/>
    <w:rsid w:val="0056136B"/>
    <w:pPr>
      <w:ind w:firstLine="0"/>
    </w:pPr>
  </w:style>
  <w:style w:type="paragraph" w:styleId="ListContinue5">
    <w:name w:val="List Continue 5"/>
    <w:basedOn w:val="List5"/>
    <w:rsid w:val="0056136B"/>
    <w:pPr>
      <w:ind w:firstLine="0"/>
    </w:pPr>
  </w:style>
  <w:style w:type="paragraph" w:styleId="ListNumber3">
    <w:name w:val="List Number 3"/>
    <w:basedOn w:val="List3"/>
    <w:rsid w:val="0056136B"/>
    <w:pPr>
      <w:numPr>
        <w:numId w:val="5"/>
      </w:numPr>
    </w:pPr>
  </w:style>
  <w:style w:type="paragraph" w:styleId="ListNumber4">
    <w:name w:val="List Number 4"/>
    <w:basedOn w:val="List4"/>
    <w:rsid w:val="0056136B"/>
    <w:pPr>
      <w:numPr>
        <w:numId w:val="6"/>
      </w:numPr>
    </w:pPr>
  </w:style>
  <w:style w:type="paragraph" w:styleId="ListNumber5">
    <w:name w:val="List Number 5"/>
    <w:basedOn w:val="List5"/>
    <w:rsid w:val="0056136B"/>
    <w:pPr>
      <w:numPr>
        <w:numId w:val="7"/>
      </w:numPr>
    </w:pPr>
  </w:style>
  <w:style w:type="paragraph" w:styleId="BlockText">
    <w:name w:val="Block Text"/>
    <w:basedOn w:val="Normal"/>
    <w:rsid w:val="005613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3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36B"/>
    <w:rPr>
      <w:sz w:val="16"/>
      <w:vertAlign w:val="superscript"/>
    </w:rPr>
  </w:style>
  <w:style w:type="character" w:customStyle="1" w:styleId="Symbols">
    <w:name w:val="Symbols"/>
    <w:basedOn w:val="DefaultParagraphFont"/>
    <w:rsid w:val="0056136B"/>
    <w:rPr>
      <w:rFonts w:ascii="Symbol" w:hAnsi="Symbol"/>
    </w:rPr>
  </w:style>
  <w:style w:type="character" w:customStyle="1" w:styleId="MenuOptions">
    <w:name w:val="Menu Options"/>
    <w:basedOn w:val="DefaultParagraphFont"/>
    <w:rsid w:val="005613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36B"/>
    <w:rPr>
      <w:b/>
    </w:rPr>
  </w:style>
  <w:style w:type="character" w:customStyle="1" w:styleId="Underlined">
    <w:name w:val="Underlined"/>
    <w:basedOn w:val="DefaultParagraphFont"/>
    <w:rsid w:val="0056136B"/>
    <w:rPr>
      <w:u w:val="single"/>
    </w:rPr>
  </w:style>
  <w:style w:type="paragraph" w:customStyle="1" w:styleId="TableBodyTextRight">
    <w:name w:val="Table Body Text Right"/>
    <w:basedOn w:val="TableBodyText"/>
    <w:rsid w:val="00561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36B"/>
    <w:rPr>
      <w:sz w:val="18"/>
    </w:rPr>
  </w:style>
  <w:style w:type="paragraph" w:customStyle="1" w:styleId="BodySmallRight">
    <w:name w:val="Body Small Right"/>
    <w:basedOn w:val="BodyTextRight"/>
    <w:rsid w:val="0056136B"/>
    <w:rPr>
      <w:sz w:val="18"/>
      <w:szCs w:val="18"/>
    </w:rPr>
  </w:style>
  <w:style w:type="paragraph" w:customStyle="1" w:styleId="MarginEdition">
    <w:name w:val="Margin Edition"/>
    <w:basedOn w:val="MarginNote"/>
    <w:rsid w:val="00561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36B"/>
    <w:rPr>
      <w:sz w:val="2"/>
      <w:szCs w:val="2"/>
    </w:rPr>
  </w:style>
  <w:style w:type="character" w:customStyle="1" w:styleId="Small">
    <w:name w:val="Small"/>
    <w:basedOn w:val="DefaultParagraphFont"/>
    <w:rsid w:val="0056136B"/>
    <w:rPr>
      <w:sz w:val="16"/>
    </w:rPr>
  </w:style>
  <w:style w:type="paragraph" w:customStyle="1" w:styleId="WideTable">
    <w:name w:val="Wide Table"/>
    <w:basedOn w:val="Normal"/>
    <w:rsid w:val="005613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36B"/>
  </w:style>
  <w:style w:type="paragraph" w:styleId="Quote">
    <w:name w:val="Quote"/>
    <w:basedOn w:val="Heading1"/>
    <w:link w:val="QuoteChar"/>
    <w:qFormat/>
    <w:rsid w:val="005613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36B"/>
    <w:pPr>
      <w:pageBreakBefore/>
    </w:pPr>
  </w:style>
  <w:style w:type="paragraph" w:customStyle="1" w:styleId="Border">
    <w:name w:val="Border"/>
    <w:basedOn w:val="Normal"/>
    <w:qFormat/>
    <w:rsid w:val="00561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3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3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36B"/>
    <w:rPr>
      <w:u w:val="single"/>
    </w:rPr>
  </w:style>
  <w:style w:type="character" w:customStyle="1" w:styleId="BoldandItalics">
    <w:name w:val="Bold and Italics"/>
    <w:qFormat/>
    <w:rsid w:val="0056136B"/>
    <w:rPr>
      <w:b/>
      <w:i/>
      <w:u w:val="none"/>
    </w:rPr>
  </w:style>
  <w:style w:type="paragraph" w:styleId="BalloonText">
    <w:name w:val="Balloon Text"/>
    <w:basedOn w:val="Normal"/>
    <w:link w:val="BalloonTextChar"/>
    <w:rsid w:val="00561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3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3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3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3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3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36B"/>
    <w:pPr>
      <w:spacing w:before="0" w:after="0"/>
    </w:pPr>
  </w:style>
  <w:style w:type="paragraph" w:customStyle="1" w:styleId="BodyTextBold">
    <w:name w:val="Body Text Bold"/>
    <w:basedOn w:val="BodyText"/>
    <w:qFormat/>
    <w:rsid w:val="0056136B"/>
    <w:rPr>
      <w:b/>
    </w:rPr>
  </w:style>
  <w:style w:type="character" w:styleId="Hyperlink">
    <w:name w:val="Hyperlink"/>
    <w:basedOn w:val="DefaultParagraphFont"/>
    <w:uiPriority w:val="99"/>
    <w:unhideWhenUsed/>
    <w:rsid w:val="00BC4F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4959</Characters>
  <Application>Microsoft Office Word</Application>
  <DocSecurity>0</DocSecurity>
  <Lines>101</Lines>
  <Paragraphs>56</Paragraphs>
  <ScaleCrop>false</ScaleCrop>
  <Company>Author-it Software Corporation Ltd.</Company>
  <LinksUpToDate>false</LinksUpToDate>
  <CharactersWithSpaces>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MEM18105 Disconnect and reconnect high voltage fixed wired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2023-02-03T07:15:00Z</dcterms:created>
  <dcterms:modified xsi:type="dcterms:W3CDTF">2023-02-03T07:15:00Z</dcterms:modified>
</cp:coreProperties>
</file>